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CC" w:rsidRDefault="007B18CC" w:rsidP="007B18CC">
      <w:pPr>
        <w:widowControl w:val="0"/>
        <w:autoSpaceDE w:val="0"/>
        <w:autoSpaceDN w:val="0"/>
        <w:adjustRightInd w:val="0"/>
        <w:spacing w:line="280" w:lineRule="atLeast"/>
        <w:jc w:val="center"/>
        <w:rPr>
          <w:rFonts w:ascii="Arial Narrow" w:hAnsi="Arial Narrow" w:cs="Times"/>
          <w:b/>
        </w:rPr>
      </w:pPr>
    </w:p>
    <w:p w:rsidR="007B18CC" w:rsidRDefault="007B18CC" w:rsidP="007B18CC">
      <w:pPr>
        <w:widowControl w:val="0"/>
        <w:autoSpaceDE w:val="0"/>
        <w:autoSpaceDN w:val="0"/>
        <w:adjustRightInd w:val="0"/>
        <w:spacing w:line="280" w:lineRule="atLeast"/>
        <w:jc w:val="center"/>
        <w:rPr>
          <w:rFonts w:ascii="Arial Narrow" w:hAnsi="Arial Narrow" w:cs="Times"/>
          <w:b/>
        </w:rPr>
      </w:pPr>
    </w:p>
    <w:p w:rsidR="007B18CC" w:rsidRPr="00FE1640" w:rsidRDefault="007B18CC" w:rsidP="007B18CC">
      <w:pPr>
        <w:widowControl w:val="0"/>
        <w:autoSpaceDE w:val="0"/>
        <w:autoSpaceDN w:val="0"/>
        <w:adjustRightInd w:val="0"/>
        <w:spacing w:line="280" w:lineRule="atLeast"/>
        <w:jc w:val="center"/>
        <w:rPr>
          <w:rFonts w:ascii="Arial Narrow" w:hAnsi="Arial Narrow" w:cs="Times"/>
          <w:b/>
        </w:rPr>
      </w:pPr>
      <w:r w:rsidRPr="00FE1640">
        <w:rPr>
          <w:rFonts w:ascii="Arial Narrow" w:hAnsi="Arial Narrow" w:cs="Times"/>
          <w:b/>
        </w:rPr>
        <w:t>Analýza dopadů návrhů směrnice 94/62 o obalech a obalových odpadech na společný trh</w:t>
      </w:r>
    </w:p>
    <w:p w:rsidR="007B18CC" w:rsidRPr="007706A1" w:rsidRDefault="007B18CC" w:rsidP="007B18CC">
      <w:pPr>
        <w:jc w:val="both"/>
        <w:rPr>
          <w:rFonts w:ascii="Arial Narrow" w:hAnsi="Arial Narrow" w:cs="Times New Roman"/>
          <w:b/>
        </w:rPr>
      </w:pPr>
    </w:p>
    <w:p w:rsidR="007B18CC" w:rsidRPr="00FE1640" w:rsidRDefault="007B18CC" w:rsidP="007B18CC">
      <w:pPr>
        <w:jc w:val="center"/>
        <w:rPr>
          <w:rFonts w:ascii="Arial Narrow" w:hAnsi="Arial Narrow" w:cs="Times New Roman"/>
        </w:rPr>
      </w:pPr>
      <w:r w:rsidRPr="00FE1640">
        <w:rPr>
          <w:rFonts w:ascii="Arial Narrow" w:hAnsi="Arial Narrow" w:cs="Times New Roman"/>
        </w:rPr>
        <w:t>Hospodářské cíle směrnice o obalech a obalových odpadech i její cíle v oblasti životního prostředí budou lépe naplněny, pokud zůstane vnitřní trh jejím jediným právním základem</w:t>
      </w:r>
    </w:p>
    <w:p w:rsidR="007B18CC" w:rsidRPr="007706A1" w:rsidRDefault="007B18CC" w:rsidP="007B18CC">
      <w:pPr>
        <w:jc w:val="both"/>
        <w:rPr>
          <w:rFonts w:ascii="Arial Narrow" w:hAnsi="Arial Narrow" w:cs="Times New Roman"/>
          <w:b/>
        </w:rPr>
      </w:pPr>
    </w:p>
    <w:p w:rsidR="007B18CC" w:rsidRPr="007706A1" w:rsidRDefault="007B18CC" w:rsidP="007B18CC">
      <w:pPr>
        <w:jc w:val="both"/>
        <w:rPr>
          <w:rFonts w:ascii="Arial Narrow" w:hAnsi="Arial Narrow" w:cs="Times New Roman"/>
        </w:rPr>
      </w:pPr>
      <w:r w:rsidRPr="007706A1">
        <w:rPr>
          <w:rFonts w:ascii="Arial Narrow" w:hAnsi="Arial Narrow" w:cs="Times New Roman"/>
        </w:rPr>
        <w:t xml:space="preserve">V prosinci 2015 navrhla Evropská komise upravit směrnici 94/62 o obalech a obalových odpadech (PPWD). Pozměňovací návrhy nyní projednávají společní zákonodárci. V průběhu tohoto procesu řada členských států navrhla u pozměňovacího návrhu změnit právní základ z článku 114 Smlouvy o fungování EU (o vnitřním trhu) na čl. 192 Smlouvy o fungování EU (o ochraně životního prostředí), proti čemuž se </w:t>
      </w:r>
      <w:r>
        <w:rPr>
          <w:rFonts w:ascii="Arial Narrow" w:hAnsi="Arial Narrow" w:cs="Times New Roman"/>
        </w:rPr>
        <w:t xml:space="preserve">podle našich informací ostře staví i Evropská obalová asociace </w:t>
      </w:r>
      <w:r w:rsidRPr="007706A1">
        <w:rPr>
          <w:rFonts w:ascii="Arial Narrow" w:hAnsi="Arial Narrow" w:cs="Times New Roman"/>
        </w:rPr>
        <w:t>EUROPEN společně s 35 asociacemi obalového průmyslu</w:t>
      </w:r>
      <w:r>
        <w:rPr>
          <w:rFonts w:ascii="Arial Narrow" w:hAnsi="Arial Narrow" w:cs="Times New Roman"/>
        </w:rPr>
        <w:t xml:space="preserve">. </w:t>
      </w:r>
    </w:p>
    <w:p w:rsidR="007B18CC" w:rsidRPr="007706A1" w:rsidRDefault="007B18CC" w:rsidP="007B18CC">
      <w:pPr>
        <w:jc w:val="both"/>
        <w:rPr>
          <w:rFonts w:ascii="Arial Narrow" w:hAnsi="Arial Narrow" w:cs="Times New Roman"/>
        </w:rPr>
      </w:pPr>
    </w:p>
    <w:p w:rsidR="007B18CC" w:rsidRPr="007706A1" w:rsidRDefault="007B18CC" w:rsidP="007B18CC">
      <w:pPr>
        <w:jc w:val="both"/>
        <w:rPr>
          <w:rFonts w:ascii="Arial Narrow" w:hAnsi="Arial Narrow" w:cs="Times New Roman"/>
        </w:rPr>
      </w:pPr>
      <w:r w:rsidRPr="007706A1">
        <w:rPr>
          <w:rFonts w:ascii="Arial Narrow" w:hAnsi="Arial Narrow" w:cs="Times New Roman"/>
        </w:rPr>
        <w:t>Kromě otázky, zda je z právního hlediska navrhovaná změna na čl. 192 Smlouvy přijatelná, nebyl rozhodně plně zvážen š</w:t>
      </w:r>
      <w:r>
        <w:rPr>
          <w:rFonts w:ascii="Arial Narrow" w:hAnsi="Arial Narrow" w:cs="Times New Roman"/>
        </w:rPr>
        <w:t>irší dopad takové změny.  Jsme</w:t>
      </w:r>
      <w:r w:rsidRPr="007706A1">
        <w:rPr>
          <w:rFonts w:ascii="Arial Narrow" w:hAnsi="Arial Narrow" w:cs="Times New Roman"/>
        </w:rPr>
        <w:t xml:space="preserve"> přesvědčen</w:t>
      </w:r>
      <w:r>
        <w:rPr>
          <w:rFonts w:ascii="Arial Narrow" w:hAnsi="Arial Narrow" w:cs="Times New Roman"/>
        </w:rPr>
        <w:t>i</w:t>
      </w:r>
      <w:r w:rsidRPr="007706A1">
        <w:rPr>
          <w:rFonts w:ascii="Arial Narrow" w:hAnsi="Arial Narrow" w:cs="Times New Roman"/>
        </w:rPr>
        <w:t>, že tato nyní zdánlivě malá změna bude mít velmi konkrétní a neblahé účinky na inovace výrobků a obalů, které zvyšují či zlepšují ochranu životního prostředí, fungování obalového odvětví včetně volby spotřebitelů a kupní síly, jakož i na pracovní místa a růst.</w:t>
      </w:r>
    </w:p>
    <w:p w:rsidR="007B18CC" w:rsidRPr="007706A1" w:rsidRDefault="007B18CC" w:rsidP="007B18CC">
      <w:pPr>
        <w:jc w:val="both"/>
        <w:rPr>
          <w:rFonts w:ascii="Arial Narrow" w:hAnsi="Arial Narrow" w:cs="Times New Roman"/>
        </w:rPr>
      </w:pPr>
    </w:p>
    <w:tbl>
      <w:tblPr>
        <w:tblStyle w:val="Mkatabulky"/>
        <w:tblW w:w="0" w:type="auto"/>
        <w:tblLook w:val="04A0" w:firstRow="1" w:lastRow="0" w:firstColumn="1" w:lastColumn="0" w:noHBand="0" w:noVBand="1"/>
      </w:tblPr>
      <w:tblGrid>
        <w:gridCol w:w="9396"/>
      </w:tblGrid>
      <w:tr w:rsidR="007B18CC" w:rsidRPr="007706A1" w:rsidTr="000066DB">
        <w:tc>
          <w:tcPr>
            <w:tcW w:w="9396" w:type="dxa"/>
          </w:tcPr>
          <w:p w:rsidR="007B18CC" w:rsidRPr="007706A1" w:rsidRDefault="007B18CC" w:rsidP="000066DB">
            <w:pPr>
              <w:jc w:val="both"/>
              <w:rPr>
                <w:rFonts w:ascii="Arial Narrow" w:hAnsi="Arial Narrow" w:cs="Times New Roman"/>
                <w:b/>
                <w:i/>
              </w:rPr>
            </w:pPr>
            <w:r w:rsidRPr="007706A1">
              <w:rPr>
                <w:rFonts w:ascii="Arial Narrow" w:hAnsi="Arial Narrow" w:cs="Times New Roman"/>
                <w:b/>
                <w:i/>
              </w:rPr>
              <w:t>Shrnutí</w:t>
            </w:r>
          </w:p>
          <w:p w:rsidR="007B18CC" w:rsidRPr="007706A1" w:rsidRDefault="007B18CC" w:rsidP="000066DB">
            <w:pPr>
              <w:jc w:val="both"/>
              <w:rPr>
                <w:rFonts w:ascii="Arial Narrow" w:hAnsi="Arial Narrow" w:cs="Times New Roman"/>
                <w:b/>
                <w:i/>
              </w:rPr>
            </w:pPr>
          </w:p>
          <w:p w:rsidR="007B18CC" w:rsidRPr="007706A1" w:rsidRDefault="007B18CC" w:rsidP="000066DB">
            <w:pPr>
              <w:jc w:val="both"/>
              <w:rPr>
                <w:rFonts w:ascii="Arial Narrow" w:hAnsi="Arial Narrow" w:cs="Times New Roman"/>
              </w:rPr>
            </w:pPr>
            <w:r>
              <w:rPr>
                <w:rFonts w:ascii="Arial Narrow" w:hAnsi="Arial Narrow" w:cs="Times New Roman"/>
              </w:rPr>
              <w:t>P</w:t>
            </w:r>
            <w:r w:rsidRPr="007706A1">
              <w:rPr>
                <w:rFonts w:ascii="Arial Narrow" w:hAnsi="Arial Narrow" w:cs="Times New Roman"/>
              </w:rPr>
              <w:t>rávním základem pozměňovacího návrhu Evropské komise, jakož i základní směrnice PPWD by měl zůstat vnitřní trh, a to z následujících důvodů:</w:t>
            </w:r>
          </w:p>
          <w:p w:rsidR="007B18CC" w:rsidRPr="007706A1" w:rsidRDefault="007B18CC" w:rsidP="000066DB">
            <w:pPr>
              <w:jc w:val="both"/>
              <w:rPr>
                <w:rFonts w:ascii="Arial Narrow" w:hAnsi="Arial Narrow" w:cs="Times New Roman"/>
              </w:rPr>
            </w:pPr>
          </w:p>
          <w:p w:rsidR="007B18CC" w:rsidRPr="007706A1" w:rsidRDefault="007B18CC" w:rsidP="000066DB">
            <w:pPr>
              <w:jc w:val="both"/>
              <w:rPr>
                <w:rFonts w:ascii="Arial Narrow" w:hAnsi="Arial Narrow" w:cs="Times New Roman"/>
              </w:rPr>
            </w:pPr>
            <w:r w:rsidRPr="007706A1">
              <w:rPr>
                <w:rFonts w:ascii="Arial Narrow" w:hAnsi="Arial Narrow" w:cs="Times New Roman"/>
              </w:rPr>
              <w:t xml:space="preserve">1. Pokud nebude přijata zásada vnitřního trhu, </w:t>
            </w:r>
            <w:r w:rsidRPr="007706A1">
              <w:rPr>
                <w:rFonts w:ascii="Arial Narrow" w:hAnsi="Arial Narrow" w:cs="Times New Roman"/>
                <w:b/>
              </w:rPr>
              <w:t xml:space="preserve">dojde k oslabení základních cílů oběhového hospodářství v oblasti životního prostředí. </w:t>
            </w:r>
          </w:p>
          <w:p w:rsidR="007B18CC" w:rsidRPr="007706A1" w:rsidRDefault="007B18CC" w:rsidP="000066DB">
            <w:pPr>
              <w:jc w:val="both"/>
              <w:rPr>
                <w:rFonts w:ascii="Arial Narrow" w:hAnsi="Arial Narrow" w:cs="Times New Roman"/>
              </w:rPr>
            </w:pPr>
          </w:p>
          <w:p w:rsidR="007B18CC" w:rsidRPr="007706A1" w:rsidRDefault="007B18CC" w:rsidP="000066DB">
            <w:pPr>
              <w:jc w:val="both"/>
              <w:rPr>
                <w:rFonts w:ascii="Arial Narrow" w:hAnsi="Arial Narrow" w:cs="Times New Roman"/>
              </w:rPr>
            </w:pPr>
            <w:r w:rsidRPr="007706A1">
              <w:rPr>
                <w:rFonts w:ascii="Arial Narrow" w:hAnsi="Arial Narrow" w:cs="Times New Roman"/>
              </w:rPr>
              <w:t xml:space="preserve">2. </w:t>
            </w:r>
            <w:r w:rsidRPr="007706A1">
              <w:rPr>
                <w:rFonts w:ascii="Arial Narrow" w:hAnsi="Arial Narrow" w:cs="Times New Roman"/>
                <w:b/>
              </w:rPr>
              <w:t xml:space="preserve">Konkurenceschopnost EU bude nepříznivě ovlivněna, </w:t>
            </w:r>
            <w:r w:rsidRPr="007706A1">
              <w:rPr>
                <w:rFonts w:ascii="Arial Narrow" w:hAnsi="Arial Narrow" w:cs="Times New Roman"/>
              </w:rPr>
              <w:t>pokud úspory z rozsahu potřebné pro udržitelné, inovativní a cenově dostupné obaly nebudou moci nadále vycházet z volného přístupu všech členských států.</w:t>
            </w:r>
          </w:p>
          <w:p w:rsidR="007B18CC" w:rsidRPr="007706A1" w:rsidRDefault="007B18CC" w:rsidP="000066DB">
            <w:pPr>
              <w:jc w:val="both"/>
              <w:rPr>
                <w:rFonts w:ascii="Arial Narrow" w:hAnsi="Arial Narrow" w:cs="Times New Roman"/>
              </w:rPr>
            </w:pPr>
          </w:p>
          <w:p w:rsidR="007B18CC" w:rsidRPr="007706A1" w:rsidRDefault="007B18CC" w:rsidP="000066DB">
            <w:pPr>
              <w:jc w:val="both"/>
              <w:rPr>
                <w:rFonts w:ascii="Arial Narrow" w:hAnsi="Arial Narrow" w:cs="Times New Roman"/>
              </w:rPr>
            </w:pPr>
            <w:r w:rsidRPr="007706A1">
              <w:rPr>
                <w:rFonts w:ascii="Arial Narrow" w:hAnsi="Arial Narrow" w:cs="Times New Roman"/>
              </w:rPr>
              <w:t xml:space="preserve">3. Právní a regulační nejistota vzniklá v důsledku přijetí jiného právního základu bude mít </w:t>
            </w:r>
            <w:r w:rsidRPr="007706A1">
              <w:rPr>
                <w:rFonts w:ascii="Arial Narrow" w:hAnsi="Arial Narrow" w:cs="Times New Roman"/>
                <w:b/>
              </w:rPr>
              <w:t>hrozivý</w:t>
            </w:r>
            <w:r w:rsidRPr="007706A1">
              <w:rPr>
                <w:rFonts w:ascii="Arial Narrow" w:hAnsi="Arial Narrow" w:cs="Times New Roman"/>
              </w:rPr>
              <w:t xml:space="preserve"> </w:t>
            </w:r>
            <w:r w:rsidRPr="007706A1">
              <w:rPr>
                <w:rFonts w:ascii="Arial Narrow" w:hAnsi="Arial Narrow" w:cs="Times New Roman"/>
                <w:b/>
              </w:rPr>
              <w:t>dopad na investice, inovace, růst a pracovní místa v Evropě</w:t>
            </w:r>
            <w:r w:rsidRPr="007706A1">
              <w:rPr>
                <w:rFonts w:ascii="Arial Narrow" w:hAnsi="Arial Narrow" w:cs="Times New Roman"/>
              </w:rPr>
              <w:t xml:space="preserve">. Pokud budou členské státy přijímat jednostranná opatření, omezí se tím jejich vlastní schopnost exportovat balené zboží. </w:t>
            </w:r>
          </w:p>
          <w:p w:rsidR="007B18CC" w:rsidRPr="007706A1" w:rsidRDefault="007B18CC" w:rsidP="000066DB">
            <w:pPr>
              <w:jc w:val="both"/>
              <w:rPr>
                <w:rFonts w:ascii="Arial Narrow" w:hAnsi="Arial Narrow" w:cs="Times New Roman"/>
              </w:rPr>
            </w:pPr>
          </w:p>
          <w:p w:rsidR="007B18CC" w:rsidRPr="007706A1" w:rsidRDefault="007B18CC" w:rsidP="000066DB">
            <w:pPr>
              <w:jc w:val="both"/>
              <w:rPr>
                <w:rFonts w:ascii="Arial Narrow" w:hAnsi="Arial Narrow" w:cs="Times New Roman"/>
              </w:rPr>
            </w:pPr>
            <w:r w:rsidRPr="007706A1">
              <w:rPr>
                <w:rFonts w:ascii="Arial Narrow" w:hAnsi="Arial Narrow" w:cs="Times New Roman"/>
              </w:rPr>
              <w:t xml:space="preserve">4. </w:t>
            </w:r>
            <w:r w:rsidRPr="007706A1">
              <w:rPr>
                <w:rFonts w:ascii="Arial Narrow" w:hAnsi="Arial Narrow" w:cs="Times New Roman"/>
                <w:b/>
              </w:rPr>
              <w:t xml:space="preserve">Stávající ochranná opatření proti národním protekcionistickým či diskriminačním opatřením, </w:t>
            </w:r>
            <w:r w:rsidRPr="007706A1">
              <w:rPr>
                <w:rFonts w:ascii="Arial Narrow" w:hAnsi="Arial Narrow" w:cs="Times New Roman"/>
              </w:rPr>
              <w:t xml:space="preserve">a tudíž proti překážkám volnému pohybu obalů a baleného zboží v rámci vnitřního trhu EU, </w:t>
            </w:r>
            <w:r w:rsidRPr="007706A1">
              <w:rPr>
                <w:rFonts w:ascii="Arial Narrow" w:hAnsi="Arial Narrow" w:cs="Times New Roman"/>
                <w:b/>
              </w:rPr>
              <w:t xml:space="preserve">budou ohrožena. </w:t>
            </w:r>
            <w:r w:rsidRPr="007706A1">
              <w:rPr>
                <w:rFonts w:ascii="Arial Narrow" w:hAnsi="Arial Narrow" w:cs="Times New Roman"/>
              </w:rPr>
              <w:t xml:space="preserve">Pokud by se článek 192 Smlouvy o fungování EU stal například základem článku 5 o „opětovném použití“, </w:t>
            </w:r>
            <w:r w:rsidRPr="007706A1">
              <w:rPr>
                <w:rFonts w:ascii="Arial Narrow" w:hAnsi="Arial Narrow" w:cs="Times New Roman"/>
                <w:b/>
              </w:rPr>
              <w:t xml:space="preserve">vedlo by to pravděpodobně k tomu, že by členské státy přijaly rozdílná opatření, </w:t>
            </w:r>
            <w:r w:rsidRPr="007706A1">
              <w:rPr>
                <w:rFonts w:ascii="Arial Narrow" w:hAnsi="Arial Narrow" w:cs="Times New Roman"/>
              </w:rPr>
              <w:t>o nichž jak Komise, tak Evropský soudní dvůr v minulosti prohlásily, že mohou vytvářet překážky a narušovat řádné fungování jednotného trhu.</w:t>
            </w:r>
          </w:p>
          <w:p w:rsidR="007B18CC" w:rsidRPr="007706A1" w:rsidRDefault="007B18CC" w:rsidP="000066DB">
            <w:pPr>
              <w:jc w:val="both"/>
              <w:rPr>
                <w:rFonts w:ascii="Arial Narrow" w:hAnsi="Arial Narrow" w:cs="Times New Roman"/>
              </w:rPr>
            </w:pPr>
          </w:p>
          <w:p w:rsidR="007B18CC" w:rsidRPr="007706A1" w:rsidRDefault="007B18CC" w:rsidP="000066DB">
            <w:pPr>
              <w:jc w:val="both"/>
              <w:rPr>
                <w:rFonts w:ascii="Arial Narrow" w:hAnsi="Arial Narrow" w:cs="Times New Roman"/>
              </w:rPr>
            </w:pPr>
            <w:r w:rsidRPr="007706A1">
              <w:rPr>
                <w:rFonts w:ascii="Arial Narrow" w:hAnsi="Arial Narrow" w:cs="Times New Roman"/>
              </w:rPr>
              <w:t xml:space="preserve">5. </w:t>
            </w:r>
            <w:r w:rsidRPr="007706A1">
              <w:rPr>
                <w:rFonts w:ascii="Arial Narrow" w:hAnsi="Arial Narrow" w:cs="Times New Roman"/>
                <w:b/>
              </w:rPr>
              <w:t xml:space="preserve">Nebylo provedeno žádné vyhodnocení rizik </w:t>
            </w:r>
            <w:r w:rsidRPr="007706A1">
              <w:rPr>
                <w:rFonts w:ascii="Arial Narrow" w:hAnsi="Arial Narrow" w:cs="Times New Roman"/>
              </w:rPr>
              <w:t>v souladu s Agendou pro zlepšení právní úpravy s cílem pochopit případné důsledky změny právního základu.</w:t>
            </w:r>
          </w:p>
          <w:p w:rsidR="007B18CC" w:rsidRPr="007706A1" w:rsidRDefault="007B18CC" w:rsidP="000066DB">
            <w:pPr>
              <w:jc w:val="both"/>
              <w:rPr>
                <w:rFonts w:ascii="Arial Narrow" w:hAnsi="Arial Narrow" w:cs="Times New Roman"/>
              </w:rPr>
            </w:pPr>
          </w:p>
          <w:p w:rsidR="007B18CC" w:rsidRPr="007706A1" w:rsidRDefault="007B18CC" w:rsidP="000066DB">
            <w:pPr>
              <w:jc w:val="both"/>
              <w:rPr>
                <w:rFonts w:ascii="Arial Narrow" w:hAnsi="Arial Narrow" w:cs="Times New Roman"/>
              </w:rPr>
            </w:pPr>
            <w:r w:rsidRPr="007706A1">
              <w:rPr>
                <w:rFonts w:ascii="Arial Narrow" w:hAnsi="Arial Narrow" w:cs="Times New Roman"/>
              </w:rPr>
              <w:t xml:space="preserve">6. Uplatnění článku 192 Smlouvy jako právního základu pozměňovacích návrhů směrnice PPWD se považuje za nesmírně problematické, neboť by se tím </w:t>
            </w:r>
            <w:r w:rsidRPr="007706A1">
              <w:rPr>
                <w:rFonts w:ascii="Arial Narrow" w:hAnsi="Arial Narrow" w:cs="Times New Roman"/>
                <w:b/>
              </w:rPr>
              <w:t xml:space="preserve">vytvořila právní nejistota </w:t>
            </w:r>
            <w:r w:rsidRPr="007706A1">
              <w:rPr>
                <w:rFonts w:ascii="Arial Narrow" w:hAnsi="Arial Narrow" w:cs="Times New Roman"/>
              </w:rPr>
              <w:t>ohledně zbytkových kompetencí členských států a jejich oznamovacích povinností.</w:t>
            </w:r>
          </w:p>
          <w:p w:rsidR="007B18CC" w:rsidRPr="007706A1" w:rsidRDefault="007B18CC" w:rsidP="000066DB">
            <w:pPr>
              <w:jc w:val="both"/>
              <w:rPr>
                <w:rFonts w:ascii="Arial Narrow" w:hAnsi="Arial Narrow" w:cs="Times New Roman"/>
              </w:rPr>
            </w:pPr>
          </w:p>
          <w:p w:rsidR="007B18CC" w:rsidRPr="007706A1" w:rsidRDefault="007B18CC" w:rsidP="000066DB">
            <w:pPr>
              <w:jc w:val="both"/>
              <w:rPr>
                <w:rFonts w:ascii="Arial Narrow" w:hAnsi="Arial Narrow" w:cs="Times New Roman"/>
              </w:rPr>
            </w:pPr>
            <w:r w:rsidRPr="007706A1">
              <w:rPr>
                <w:rFonts w:ascii="Arial Narrow" w:hAnsi="Arial Narrow" w:cs="Times New Roman"/>
              </w:rPr>
              <w:t xml:space="preserve">7. Pozměňovací návrhy k legislativním aktům musí brát v úvahu souvislosti „pozměněného aktu“, aby nedocházelo k neustálému </w:t>
            </w:r>
            <w:r w:rsidRPr="007706A1">
              <w:rPr>
                <w:rFonts w:ascii="Arial Narrow" w:hAnsi="Arial Narrow" w:cs="Times New Roman"/>
                <w:b/>
              </w:rPr>
              <w:t xml:space="preserve">oslabování jeho základního účelu </w:t>
            </w:r>
            <w:r w:rsidRPr="007706A1">
              <w:rPr>
                <w:rFonts w:ascii="Arial Narrow" w:hAnsi="Arial Narrow" w:cs="Times New Roman"/>
              </w:rPr>
              <w:t xml:space="preserve">a </w:t>
            </w:r>
            <w:r w:rsidRPr="007706A1">
              <w:rPr>
                <w:rFonts w:ascii="Arial Narrow" w:hAnsi="Arial Narrow" w:cs="Times New Roman"/>
                <w:b/>
              </w:rPr>
              <w:t>narušování vlastní soudržnosti</w:t>
            </w:r>
            <w:r w:rsidRPr="007706A1">
              <w:rPr>
                <w:rFonts w:ascii="Arial Narrow" w:hAnsi="Arial Narrow" w:cs="Times New Roman"/>
              </w:rPr>
              <w:t xml:space="preserve"> </w:t>
            </w:r>
            <w:r w:rsidRPr="007706A1">
              <w:rPr>
                <w:rFonts w:ascii="Arial Narrow" w:hAnsi="Arial Narrow" w:cs="Times New Roman"/>
                <w:b/>
              </w:rPr>
              <w:t>a akceschopnosti.</w:t>
            </w:r>
          </w:p>
        </w:tc>
      </w:tr>
    </w:tbl>
    <w:p w:rsidR="007B18CC" w:rsidRPr="007706A1" w:rsidRDefault="007B18CC" w:rsidP="007B18CC">
      <w:pPr>
        <w:jc w:val="both"/>
        <w:rPr>
          <w:rFonts w:ascii="Arial Narrow" w:hAnsi="Arial Narrow" w:cs="Times New Roman"/>
        </w:rPr>
      </w:pPr>
    </w:p>
    <w:p w:rsidR="007B18CC" w:rsidRPr="007706A1" w:rsidRDefault="007B18CC" w:rsidP="007B18CC">
      <w:pPr>
        <w:jc w:val="both"/>
        <w:rPr>
          <w:rFonts w:ascii="Arial Narrow" w:hAnsi="Arial Narrow" w:cs="Times New Roman"/>
          <w:b/>
        </w:rPr>
      </w:pPr>
    </w:p>
    <w:p w:rsidR="007B18CC" w:rsidRPr="007706A1" w:rsidRDefault="007B18CC" w:rsidP="007B18CC">
      <w:pPr>
        <w:jc w:val="both"/>
        <w:rPr>
          <w:rFonts w:ascii="Arial Narrow" w:hAnsi="Arial Narrow" w:cs="Times New Roman"/>
          <w:b/>
        </w:rPr>
      </w:pPr>
    </w:p>
    <w:p w:rsidR="007B18CC" w:rsidRPr="007706A1" w:rsidRDefault="007B18CC" w:rsidP="007B18CC">
      <w:pPr>
        <w:jc w:val="both"/>
        <w:rPr>
          <w:rFonts w:ascii="Arial Narrow" w:hAnsi="Arial Narrow" w:cs="Times New Roman"/>
          <w:b/>
        </w:rPr>
      </w:pPr>
    </w:p>
    <w:p w:rsidR="007B18CC" w:rsidRPr="007706A1" w:rsidRDefault="007B18CC" w:rsidP="007B18CC">
      <w:pPr>
        <w:jc w:val="both"/>
        <w:rPr>
          <w:rFonts w:ascii="Arial Narrow" w:hAnsi="Arial Narrow" w:cs="Times New Roman"/>
          <w:b/>
        </w:rPr>
      </w:pPr>
      <w:r w:rsidRPr="007706A1">
        <w:rPr>
          <w:rFonts w:ascii="Arial Narrow" w:hAnsi="Arial Narrow" w:cs="Times New Roman"/>
          <w:b/>
        </w:rPr>
        <w:t xml:space="preserve">1. Pokud nebude přijata zásada vnitřního trhu, dojde k oslabení základních cílů oběhového hospodářství v oblasti životního prostředí </w:t>
      </w:r>
    </w:p>
    <w:p w:rsidR="007B18CC" w:rsidRPr="007706A1" w:rsidRDefault="007B18CC" w:rsidP="007B18CC">
      <w:pPr>
        <w:jc w:val="both"/>
        <w:rPr>
          <w:rFonts w:ascii="Arial Narrow" w:hAnsi="Arial Narrow" w:cs="Times New Roman"/>
          <w:b/>
        </w:rPr>
      </w:pPr>
    </w:p>
    <w:p w:rsidR="007B18CC" w:rsidRPr="007706A1" w:rsidRDefault="007B18CC" w:rsidP="007B18CC">
      <w:pPr>
        <w:jc w:val="both"/>
        <w:rPr>
          <w:rFonts w:ascii="Arial Narrow" w:hAnsi="Arial Narrow" w:cs="Times New Roman"/>
        </w:rPr>
      </w:pPr>
      <w:r w:rsidRPr="007706A1">
        <w:rPr>
          <w:rFonts w:ascii="Arial Narrow" w:hAnsi="Arial Narrow" w:cs="Times New Roman"/>
        </w:rPr>
        <w:t>Obal je sám o sobě výrobkem a na trh může být uveden samostatně nebo jako součást baleného zboží. Teprve až na konci svého životního cyklu se obal může stát součástí odpadového toku. Cíle směrnice PPWD v oblasti životního prostředí (tj. opětovné použití, využití a recyklace obalového odpadu) se naplňují tím, že se s obalem nakládá jako se samostatným výrobkem. Vnitřní trh posiluje příznivé dopady směrnice PPWD na životní prostředí, a měl by být tudíž zachován jako základní princip. Cíle směrnice PPWD lze navíc odlišit od cílů většiny ostatních právních předpisů, u kterých je ochrana životního prostředí výhradním cílem či nedílnou součástí.  Je to proto, že největší část svého životního cyklu obal zůstává – svou samotnou podstatou – neoddělitelný od téměř jakéhokoli myslitelného spotřebního zboží, které obíhá na jednotném trhu. Jelikož požadavky na obaly stanovené ve směrnici PPWD jsou svojí podstatou spojeny s výrobkovými požadavky zdánlivě celistvého spotřebního zboží na našem vnitřním trhu, je základním cílem směrnice PPWD vnitřní trh, od kterého není možné se odchýlit.</w:t>
      </w:r>
    </w:p>
    <w:p w:rsidR="007B18CC" w:rsidRPr="007706A1" w:rsidRDefault="007B18CC" w:rsidP="007B18CC">
      <w:pPr>
        <w:jc w:val="both"/>
        <w:rPr>
          <w:rFonts w:ascii="Arial Narrow" w:hAnsi="Arial Narrow" w:cs="Times New Roman"/>
        </w:rPr>
      </w:pPr>
    </w:p>
    <w:p w:rsidR="007B18CC" w:rsidRPr="007706A1" w:rsidRDefault="007B18CC" w:rsidP="007B18CC">
      <w:pPr>
        <w:jc w:val="both"/>
        <w:rPr>
          <w:rFonts w:ascii="Arial Narrow" w:hAnsi="Arial Narrow" w:cs="Calibri"/>
        </w:rPr>
      </w:pPr>
      <w:r w:rsidRPr="007706A1">
        <w:rPr>
          <w:rFonts w:ascii="Arial Narrow" w:hAnsi="Arial Narrow" w:cs="Times New Roman"/>
        </w:rPr>
        <w:t xml:space="preserve">Zdůrazňujeme, že v rozporu s předloženým pozměňovacím návrhem nalezneme v základním znění směrnice PPWD řadu úvodních ustanovení a článků, ve kterých se stanoví, že fungování vnitřního trhu je jedním z klíčových účelů směrnice a je samotným základem tohoto právního předpisu. Jasně to vyplývá z preambule a některých klíčových článků.  V článku 1 se jasně uvádí, že cílem směrnice je harmonizovat vnitrostátní legislativu týkající se obalových odpadů jednak proto, aby </w:t>
      </w:r>
      <w:r w:rsidRPr="007706A1">
        <w:rPr>
          <w:rFonts w:ascii="Arial Narrow" w:hAnsi="Arial Narrow" w:cs="Times New Roman"/>
          <w:i/>
        </w:rPr>
        <w:t xml:space="preserve">„se zabránilo jakémukoli jejich dopadu na </w:t>
      </w:r>
      <w:r w:rsidRPr="007706A1">
        <w:rPr>
          <w:rFonts w:ascii="Calibri" w:eastAsia="Calibri" w:hAnsi="Calibri" w:cs="Calibri"/>
          <w:i/>
        </w:rPr>
        <w:t>ž</w:t>
      </w:r>
      <w:r w:rsidRPr="007706A1">
        <w:rPr>
          <w:rFonts w:ascii="Arial Narrow" w:hAnsi="Arial Narrow" w:cs="Calibri"/>
          <w:i/>
        </w:rPr>
        <w:t>ivotní prost</w:t>
      </w:r>
      <w:r w:rsidRPr="007706A1">
        <w:rPr>
          <w:rFonts w:ascii="Calibri" w:eastAsia="Calibri" w:hAnsi="Calibri" w:cs="Calibri"/>
          <w:i/>
        </w:rPr>
        <w:t>ř</w:t>
      </w:r>
      <w:r w:rsidRPr="007706A1">
        <w:rPr>
          <w:rFonts w:ascii="Arial Narrow" w:hAnsi="Arial Narrow" w:cs="Calibri"/>
          <w:i/>
        </w:rPr>
        <w:t xml:space="preserve">edí“ </w:t>
      </w:r>
      <w:r w:rsidRPr="007706A1">
        <w:rPr>
          <w:rFonts w:ascii="Arial Narrow" w:hAnsi="Arial Narrow" w:cs="Calibri"/>
        </w:rPr>
        <w:t xml:space="preserve">a rovněž proto, aby </w:t>
      </w:r>
      <w:r w:rsidRPr="007706A1">
        <w:rPr>
          <w:rFonts w:ascii="Arial Narrow" w:hAnsi="Arial Narrow" w:cs="Calibri"/>
          <w:i/>
        </w:rPr>
        <w:t>„se zajistilo fungování vnit</w:t>
      </w:r>
      <w:r w:rsidRPr="007706A1">
        <w:rPr>
          <w:rFonts w:ascii="Calibri" w:eastAsia="Calibri" w:hAnsi="Calibri" w:cs="Calibri"/>
          <w:i/>
        </w:rPr>
        <w:t>ř</w:t>
      </w:r>
      <w:r w:rsidRPr="007706A1">
        <w:rPr>
          <w:rFonts w:ascii="Arial Narrow" w:hAnsi="Arial Narrow" w:cs="Calibri"/>
          <w:i/>
        </w:rPr>
        <w:t>ního trhu a zamezilo se p</w:t>
      </w:r>
      <w:r w:rsidRPr="007706A1">
        <w:rPr>
          <w:rFonts w:ascii="Calibri" w:eastAsia="Calibri" w:hAnsi="Calibri" w:cs="Calibri"/>
          <w:i/>
        </w:rPr>
        <w:t>ř</w:t>
      </w:r>
      <w:r w:rsidRPr="007706A1">
        <w:rPr>
          <w:rFonts w:ascii="Arial Narrow" w:hAnsi="Arial Narrow" w:cs="Calibri"/>
          <w:i/>
        </w:rPr>
        <w:t>eká</w:t>
      </w:r>
      <w:r w:rsidRPr="007706A1">
        <w:rPr>
          <w:rFonts w:ascii="Calibri" w:eastAsia="Calibri" w:hAnsi="Calibri" w:cs="Calibri"/>
          <w:i/>
        </w:rPr>
        <w:t>ž</w:t>
      </w:r>
      <w:r w:rsidRPr="007706A1">
        <w:rPr>
          <w:rFonts w:ascii="Arial Narrow" w:hAnsi="Arial Narrow" w:cs="Calibri"/>
          <w:i/>
        </w:rPr>
        <w:t xml:space="preserve">kám obchodu“. </w:t>
      </w:r>
      <w:r w:rsidRPr="007706A1">
        <w:rPr>
          <w:rFonts w:ascii="Arial Narrow" w:hAnsi="Arial Narrow" w:cs="Calibri"/>
        </w:rPr>
        <w:t>Jediným právním základem, který dokáže obě tyto otázky řešit, je článek 114 Smlouvy o fungování EU, neboť zavazuje Komisi k tomu, aby zohlednila problematiku životního prostředí. Pokud by však za základ byl stanoven článek 192, mohlo by dojít k úplnému odstranění ochranných opatření jednotného trhu uvedených ve směrnici.</w:t>
      </w:r>
    </w:p>
    <w:p w:rsidR="007B18CC" w:rsidRPr="007706A1" w:rsidRDefault="007B18CC" w:rsidP="007B18CC">
      <w:pPr>
        <w:jc w:val="both"/>
        <w:rPr>
          <w:rFonts w:ascii="Arial Narrow" w:hAnsi="Arial Narrow" w:cs="Calibri"/>
        </w:rPr>
      </w:pPr>
    </w:p>
    <w:p w:rsidR="007B18CC" w:rsidRPr="007706A1" w:rsidRDefault="007B18CC" w:rsidP="007B18CC">
      <w:pPr>
        <w:jc w:val="both"/>
        <w:rPr>
          <w:rFonts w:ascii="Arial Narrow" w:hAnsi="Arial Narrow" w:cs="Calibri"/>
        </w:rPr>
      </w:pPr>
      <w:r w:rsidRPr="007706A1">
        <w:rPr>
          <w:rFonts w:ascii="Arial Narrow" w:hAnsi="Arial Narrow" w:cs="Calibri"/>
        </w:rPr>
        <w:t xml:space="preserve">Možnost členských států EU stanovit si vlastní pravidla, a tudíž zabránit řádnému fungování vnitřního trhu EU, má dalekosáhlé důsledky. Členské státy by si mohly například stanovit vlastní požadavky na označování, nebo by mohly na určité materiály uplatňovat tržní omezení. V současné době podniky se spotřebním zbožím prodávají výrobky na různých trzích ve stejných obalech, což eliminuje nutnost mít konečné výrobky pro každý jednotlivý stát, což by mohlo mít negativní dopad na životní prostředí, náklady a na dodávky výrobků. Co se týče tržních omezení u jednotlivých materiálů, všechny státy by byly nuceny provést změnu kvůli omezení jednoho státu, nebo by bylo třeba pro daný konkrétní trh najít specifické řešení. </w:t>
      </w:r>
    </w:p>
    <w:p w:rsidR="007B18CC" w:rsidRPr="007706A1" w:rsidRDefault="007B18CC" w:rsidP="007B18CC">
      <w:pPr>
        <w:jc w:val="both"/>
        <w:rPr>
          <w:rFonts w:ascii="Arial Narrow" w:hAnsi="Arial Narrow" w:cs="Calibri"/>
        </w:rPr>
      </w:pPr>
    </w:p>
    <w:p w:rsidR="007B18CC" w:rsidRPr="007706A1" w:rsidRDefault="007B18CC" w:rsidP="007B18CC">
      <w:pPr>
        <w:jc w:val="both"/>
        <w:rPr>
          <w:rFonts w:ascii="Arial Narrow" w:hAnsi="Arial Narrow" w:cs="Calibri"/>
        </w:rPr>
      </w:pPr>
      <w:r w:rsidRPr="007706A1">
        <w:rPr>
          <w:rFonts w:ascii="Arial Narrow" w:hAnsi="Arial Narrow" w:cs="Calibri"/>
        </w:rPr>
        <w:t xml:space="preserve">Mezi další neplánované důsledky patří povinnost pravidelně vypracovávat zprávy ve všech členských státech za účelem ověření, zda byly konkrétní požadavky jednotlivých zemí splněny. Ne všechny organizace ve všech 28 jurisdikcích jsou schopny připravovat takové hloubkové analýzy. Navíc budou ohroženy dynamické podniky schopné reagovat na potřeby dynamického a měnícího se trhu. Řada podniků s různými výrobními závody po celé EU dokáže nyní optimalizovat zásobovací řetězce, například </w:t>
      </w:r>
      <w:r w:rsidRPr="007706A1">
        <w:rPr>
          <w:rFonts w:ascii="Arial Narrow" w:hAnsi="Arial Narrow" w:cs="Calibri"/>
        </w:rPr>
        <w:lastRenderedPageBreak/>
        <w:t xml:space="preserve">plánováním dodávek konkrétních výrobků a obalů z různých závodů v různých zemích. Díky tomu mohou podniky reagovat na novou či naléhavou poptávku trhu tím, že převedou výrobu ze závodu, který zpravidla danou zemi nezásobuje. Přerušení dodavatelských řetězců kvůli selhání vnitřního trhu má velmi podstatné hrozivé důsledky. </w:t>
      </w:r>
    </w:p>
    <w:p w:rsidR="007B18CC" w:rsidRPr="007706A1" w:rsidRDefault="007B18CC" w:rsidP="007B18CC">
      <w:pPr>
        <w:jc w:val="both"/>
        <w:rPr>
          <w:rFonts w:ascii="Arial Narrow" w:hAnsi="Arial Narrow" w:cs="Calibri"/>
        </w:rPr>
      </w:pPr>
    </w:p>
    <w:p w:rsidR="007B18CC" w:rsidRPr="007706A1" w:rsidRDefault="007B18CC" w:rsidP="007B18CC">
      <w:pPr>
        <w:jc w:val="both"/>
        <w:rPr>
          <w:rFonts w:ascii="Arial Narrow" w:hAnsi="Arial Narrow" w:cs="Calibri"/>
        </w:rPr>
      </w:pPr>
      <w:r w:rsidRPr="007706A1">
        <w:rPr>
          <w:rFonts w:ascii="Arial Narrow" w:hAnsi="Arial Narrow" w:cs="Calibri"/>
        </w:rPr>
        <w:t xml:space="preserve">Konkrétně to znamená, že jakékoli narušení základu v podobě vnitřního trhu by pravděpodobně vedlo k tomu, že by členské státy požadovaly od podniků, aby dodávaly specializované obaly podle konkrétních požadavků dané země, což by bylo neefektivní jak z hospodářského hlediska, tak z hlediska životního prostředí. K tomu vlastně dochází již nyní.  V minulosti se například členské státy pokusily zavést směrnici o obalech, která stanovila pro nápojové obaly systém zálohování a zpětného odběru, což se podle Evropského soudního dvora neslučovalo s pravidly jednotného trhu. Z tohoto důvodu byla zamítnuta. </w:t>
      </w:r>
      <w:r w:rsidRPr="007706A1">
        <w:rPr>
          <w:rStyle w:val="Znakapoznpodarou"/>
          <w:rFonts w:ascii="Arial Narrow" w:hAnsi="Arial Narrow" w:cs="Calibri"/>
        </w:rPr>
        <w:footnoteReference w:id="1"/>
      </w:r>
      <w:r w:rsidRPr="007706A1">
        <w:rPr>
          <w:rFonts w:ascii="Arial Narrow" w:hAnsi="Arial Narrow" w:cs="Calibri"/>
        </w:rPr>
        <w:t xml:space="preserve"> Dalším příkladem je situace, kdy členské státy uplatnily všeobecný zákaz používání kovových nápojových plechovek. V tomto případě se podle Komise jednalo o neslučitelnost se zásadami jednotného trhu uvedenými ve směrnici PPWD, neboť nebyla zajištěna vhodná rovnováha mezi různými faktory, které by měly určovat pravidla o obalech, a tudíž došlo k narušení fungování jednotného trhu.</w:t>
      </w:r>
      <w:r w:rsidRPr="007706A1">
        <w:rPr>
          <w:rStyle w:val="Znakapoznpodarou"/>
          <w:rFonts w:ascii="Arial Narrow" w:hAnsi="Arial Narrow" w:cs="Calibri"/>
        </w:rPr>
        <w:footnoteReference w:id="2"/>
      </w:r>
      <w:r w:rsidRPr="007706A1">
        <w:rPr>
          <w:rFonts w:ascii="Arial Narrow" w:hAnsi="Arial Narrow" w:cs="Calibri"/>
        </w:rPr>
        <w:t xml:space="preserve"> Je třeba vynaložit veškeré úsilí na zajištění toho, aby ochranná opatření fungovala i nadále, a předcházela tak podobným porušením v budoucnu.</w:t>
      </w:r>
    </w:p>
    <w:p w:rsidR="007B18CC" w:rsidRPr="007706A1" w:rsidRDefault="007B18CC" w:rsidP="007B18CC">
      <w:pPr>
        <w:jc w:val="both"/>
        <w:rPr>
          <w:rFonts w:ascii="Arial Narrow" w:hAnsi="Arial Narrow" w:cs="Calibri"/>
        </w:rPr>
      </w:pPr>
    </w:p>
    <w:p w:rsidR="007B18CC" w:rsidRPr="007706A1" w:rsidRDefault="007B18CC" w:rsidP="007B18CC">
      <w:pPr>
        <w:jc w:val="both"/>
        <w:rPr>
          <w:rFonts w:ascii="Arial Narrow" w:hAnsi="Arial Narrow" w:cs="Calibri"/>
        </w:rPr>
      </w:pPr>
      <w:r w:rsidRPr="007706A1">
        <w:rPr>
          <w:rFonts w:ascii="Arial Narrow" w:hAnsi="Arial Narrow" w:cs="Calibri"/>
        </w:rPr>
        <w:t xml:space="preserve">Je proto jasné, že změna právního základu, která by měla za následek narušení zásad vnitřního trhu, který je základem směrnice PPWD, by ohrozila optimalizaci výroby i distribuce obalů; jednotlivé členské státy by mohly vypracovat další požadavky specifické pro jejich příslušné </w:t>
      </w:r>
      <w:proofErr w:type="gramStart"/>
      <w:r w:rsidRPr="007706A1">
        <w:rPr>
          <w:rFonts w:ascii="Arial Narrow" w:hAnsi="Arial Narrow" w:cs="Calibri"/>
        </w:rPr>
        <w:t>jurisdikce a které</w:t>
      </w:r>
      <w:proofErr w:type="gramEnd"/>
      <w:r w:rsidRPr="007706A1">
        <w:rPr>
          <w:rFonts w:ascii="Arial Narrow" w:hAnsi="Arial Narrow" w:cs="Calibri"/>
        </w:rPr>
        <w:t xml:space="preserve"> by navíc pouze sloužily k upřednostňování vnitrostátních průmyslových odvětví a materiálů.</w:t>
      </w:r>
    </w:p>
    <w:p w:rsidR="007B18CC" w:rsidRPr="007706A1" w:rsidRDefault="007B18CC" w:rsidP="007B18CC">
      <w:pPr>
        <w:jc w:val="both"/>
        <w:rPr>
          <w:rFonts w:ascii="Arial Narrow" w:hAnsi="Arial Narrow" w:cs="Calibri"/>
        </w:rPr>
      </w:pPr>
    </w:p>
    <w:p w:rsidR="007B18CC" w:rsidRPr="007706A1" w:rsidRDefault="007B18CC" w:rsidP="007B18CC">
      <w:pPr>
        <w:jc w:val="both"/>
        <w:rPr>
          <w:rFonts w:ascii="Arial Narrow" w:hAnsi="Arial Narrow" w:cs="Times New Roman"/>
          <w:b/>
        </w:rPr>
      </w:pPr>
      <w:r w:rsidRPr="007706A1">
        <w:rPr>
          <w:rFonts w:ascii="Arial Narrow" w:hAnsi="Arial Narrow" w:cs="Calibri"/>
          <w:b/>
        </w:rPr>
        <w:t xml:space="preserve">2. </w:t>
      </w:r>
      <w:r w:rsidRPr="007706A1">
        <w:rPr>
          <w:rFonts w:ascii="Arial Narrow" w:hAnsi="Arial Narrow" w:cs="Times New Roman"/>
          <w:b/>
        </w:rPr>
        <w:t>Konkurenceschopnost EU bude nepříznivě ovlivněna, pokud úspory z rozsahu potřebné pro udržitelné, inovativní a cenově dostupné obaly nebudou moci nadále vycházet z volného přístupu všech členských států.</w:t>
      </w:r>
    </w:p>
    <w:p w:rsidR="007B18CC" w:rsidRPr="007706A1" w:rsidRDefault="007B18CC" w:rsidP="007B18CC">
      <w:pPr>
        <w:jc w:val="both"/>
        <w:rPr>
          <w:rFonts w:ascii="Arial Narrow" w:hAnsi="Arial Narrow" w:cs="Times New Roman"/>
          <w:b/>
        </w:rPr>
      </w:pPr>
    </w:p>
    <w:p w:rsidR="007B18CC" w:rsidRPr="007706A1" w:rsidRDefault="007B18CC" w:rsidP="007B18CC">
      <w:pPr>
        <w:jc w:val="both"/>
        <w:rPr>
          <w:rFonts w:ascii="Arial Narrow" w:hAnsi="Arial Narrow" w:cs="Times New Roman"/>
        </w:rPr>
      </w:pPr>
      <w:r w:rsidRPr="007706A1">
        <w:rPr>
          <w:rFonts w:ascii="Arial Narrow" w:hAnsi="Arial Narrow" w:cs="Times New Roman"/>
        </w:rPr>
        <w:t>Navrhovaná změna právního základu představuje postupné narušování základu vnitřního trhu v základní směrnici PPWD, což má vážné hospodářské důsledky i důsledky v </w:t>
      </w:r>
      <w:proofErr w:type="gramStart"/>
      <w:r w:rsidRPr="007706A1">
        <w:rPr>
          <w:rFonts w:ascii="Arial Narrow" w:hAnsi="Arial Narrow" w:cs="Times New Roman"/>
        </w:rPr>
        <w:t>oblasti  životního</w:t>
      </w:r>
      <w:proofErr w:type="gramEnd"/>
      <w:r w:rsidRPr="007706A1">
        <w:rPr>
          <w:rFonts w:ascii="Arial Narrow" w:hAnsi="Arial Narrow" w:cs="Times New Roman"/>
        </w:rPr>
        <w:t xml:space="preserve"> prostředí. Právní základ v podobě vnitřního trhu původní směrnice PPWD má zásadní význam, neboť zajišťuje úspory z rozsahu díky přístupu soukromých investic a inovací na všech 28 trhů EU směrem k efektivnějšímu využívání zdrojů v rámci oběhového hospodářství. Rozsah rovněž představuje nezbytný faktor k tomu, aby bylo možné vyrábět cenově dostupné a nezávadné výrobky, bez nichž by dostupnost byla na některých trzích omezena. Takovéto narušení proto představuje nejen hospodářskou nevýhodu pro ty, kteří takové obaly vyrábějí a distribuují, ale rovněž pro členské státy a pro EU v širším měřítku ve vztahu k dalším harmonizovaným jurisdikcím.</w:t>
      </w:r>
    </w:p>
    <w:p w:rsidR="007B18CC" w:rsidRPr="007706A1" w:rsidRDefault="007B18CC" w:rsidP="007B18CC">
      <w:pPr>
        <w:jc w:val="both"/>
        <w:rPr>
          <w:rFonts w:ascii="Arial Narrow" w:hAnsi="Arial Narrow" w:cs="Times New Roman"/>
        </w:rPr>
      </w:pPr>
    </w:p>
    <w:p w:rsidR="007B18CC" w:rsidRPr="007706A1" w:rsidRDefault="007B18CC" w:rsidP="007B18CC">
      <w:pPr>
        <w:jc w:val="both"/>
        <w:rPr>
          <w:rFonts w:ascii="Arial Narrow" w:hAnsi="Arial Narrow" w:cs="Calibri"/>
        </w:rPr>
      </w:pPr>
    </w:p>
    <w:p w:rsidR="007B18CC" w:rsidRPr="007706A1" w:rsidRDefault="007B18CC" w:rsidP="007B18CC">
      <w:pPr>
        <w:rPr>
          <w:rFonts w:ascii="Arial Narrow" w:hAnsi="Arial Narrow" w:cs="Times New Roman"/>
          <w:b/>
        </w:rPr>
      </w:pPr>
      <w:r w:rsidRPr="007706A1">
        <w:rPr>
          <w:rFonts w:ascii="Arial Narrow" w:hAnsi="Arial Narrow"/>
          <w:b/>
        </w:rPr>
        <w:t xml:space="preserve">3. </w:t>
      </w:r>
      <w:r w:rsidRPr="007706A1">
        <w:rPr>
          <w:rFonts w:ascii="Arial Narrow" w:hAnsi="Arial Narrow" w:cs="Times New Roman"/>
          <w:b/>
        </w:rPr>
        <w:t>Právní a regulační nejistota vzniklá v důsledku přijetí jiného právního základu bude mít hrozivý dopad na investice, inovace, růst a pracovní místa v Evropě. Pokud budou členské státy přijímat jednostranná opatření, omezí se tím jejich vlastní schopnost exportovat balené zboží.</w:t>
      </w:r>
    </w:p>
    <w:p w:rsidR="007B18CC" w:rsidRPr="007706A1" w:rsidRDefault="007B18CC" w:rsidP="007B18CC">
      <w:pPr>
        <w:rPr>
          <w:rFonts w:ascii="Arial Narrow" w:hAnsi="Arial Narrow" w:cs="Times New Roman"/>
          <w:b/>
        </w:rPr>
      </w:pPr>
    </w:p>
    <w:p w:rsidR="007B18CC" w:rsidRPr="007706A1" w:rsidRDefault="007B18CC" w:rsidP="007B18CC">
      <w:pPr>
        <w:jc w:val="both"/>
        <w:rPr>
          <w:rFonts w:ascii="Arial Narrow" w:hAnsi="Arial Narrow" w:cs="Calibri"/>
        </w:rPr>
      </w:pPr>
      <w:r w:rsidRPr="007706A1">
        <w:rPr>
          <w:rFonts w:ascii="Arial Narrow" w:hAnsi="Arial Narrow" w:cs="Times New Roman"/>
        </w:rPr>
        <w:t xml:space="preserve">Komisí deklarované cíle při předkládání balíčku oběhového hospodářství jsou: </w:t>
      </w:r>
      <w:r w:rsidRPr="007706A1">
        <w:rPr>
          <w:rFonts w:ascii="Arial Narrow" w:hAnsi="Arial Narrow" w:cs="Times New Roman"/>
          <w:i/>
        </w:rPr>
        <w:t>„zvýšit konkurenceschopnost Evropy, vytvá</w:t>
      </w:r>
      <w:r w:rsidRPr="007706A1">
        <w:rPr>
          <w:rFonts w:ascii="Calibri" w:eastAsia="Calibri" w:hAnsi="Calibri" w:cs="Calibri"/>
          <w:i/>
        </w:rPr>
        <w:t>ř</w:t>
      </w:r>
      <w:r w:rsidRPr="007706A1">
        <w:rPr>
          <w:rFonts w:ascii="Arial Narrow" w:hAnsi="Arial Narrow" w:cs="Calibri"/>
          <w:i/>
        </w:rPr>
        <w:t>et r</w:t>
      </w:r>
      <w:r w:rsidRPr="007706A1">
        <w:rPr>
          <w:rFonts w:ascii="Calibri" w:eastAsia="Calibri" w:hAnsi="Calibri" w:cs="Calibri"/>
          <w:i/>
        </w:rPr>
        <w:t>ů</w:t>
      </w:r>
      <w:r w:rsidRPr="007706A1">
        <w:rPr>
          <w:rFonts w:ascii="Arial Narrow" w:hAnsi="Arial Narrow" w:cs="Calibri"/>
          <w:i/>
        </w:rPr>
        <w:t xml:space="preserve">st a pracovní místa a podporovat inovace“. </w:t>
      </w:r>
      <w:r w:rsidRPr="007706A1">
        <w:rPr>
          <w:rFonts w:ascii="Arial Narrow" w:hAnsi="Arial Narrow" w:cs="Calibri"/>
        </w:rPr>
        <w:t>Nebude-li vnitřní trh zachován jako jediný právní základ směrnice PPWD, ohrozí EU přímo tyto cíle.</w:t>
      </w:r>
    </w:p>
    <w:p w:rsidR="007B18CC" w:rsidRPr="007706A1" w:rsidRDefault="007B18CC" w:rsidP="007B18CC">
      <w:pPr>
        <w:jc w:val="both"/>
        <w:rPr>
          <w:rFonts w:ascii="Arial Narrow" w:hAnsi="Arial Narrow" w:cs="Calibri"/>
        </w:rPr>
      </w:pPr>
    </w:p>
    <w:p w:rsidR="007B18CC" w:rsidRPr="007706A1" w:rsidRDefault="007B18CC" w:rsidP="007B18CC">
      <w:pPr>
        <w:jc w:val="both"/>
        <w:rPr>
          <w:rFonts w:ascii="Arial Narrow" w:hAnsi="Arial Narrow" w:cs="Calibri"/>
        </w:rPr>
      </w:pPr>
      <w:r w:rsidRPr="007706A1">
        <w:rPr>
          <w:rFonts w:ascii="Arial Narrow" w:hAnsi="Arial Narrow" w:cs="Calibri"/>
        </w:rPr>
        <w:t>Zásadní důležitost pro budoucnost inovativních obalových a odpadových řešení má právní a regulační jistota. Navrhovaná změna právního základu zpochybňuje zásadní rozměr směrnice v podobě vnitřního trhu, který zajišťuje, aby členské státy dodržovaly základní zásady zaručující rozsah potřebný pro zajištění úspěšnosti investicí. Bez této jistoty bude EU napomáhat rozvoji podnikatelského prostředí, které je méně předvídatelné, zranitelnější a méně otevřené investicím a dalšímu růstu. Právní jistota je pro podniky v rámci obalového dodavatelského řetězce zásadní k zajišťování inovativních obalových řešení po celé EU, a zároveň i k prosazování ochrany životního prostředí. Navíc pokud členské státy budou přijímat jednostranná opatření, jejich vlastní schopnost vyvážet balené zboží bude omezena.</w:t>
      </w:r>
    </w:p>
    <w:p w:rsidR="007B18CC" w:rsidRPr="007706A1" w:rsidRDefault="007B18CC" w:rsidP="007B18CC">
      <w:pPr>
        <w:jc w:val="both"/>
        <w:rPr>
          <w:rFonts w:ascii="Arial Narrow" w:hAnsi="Arial Narrow" w:cs="Calibri"/>
        </w:rPr>
      </w:pPr>
    </w:p>
    <w:p w:rsidR="007B18CC" w:rsidRPr="007706A1" w:rsidRDefault="007B18CC" w:rsidP="007B18CC">
      <w:pPr>
        <w:jc w:val="both"/>
        <w:rPr>
          <w:rFonts w:ascii="Arial Narrow" w:hAnsi="Arial Narrow" w:cs="Times New Roman"/>
          <w:b/>
        </w:rPr>
      </w:pPr>
      <w:r w:rsidRPr="007706A1">
        <w:rPr>
          <w:rFonts w:ascii="Arial Narrow" w:hAnsi="Arial Narrow" w:cs="Calibri"/>
          <w:b/>
        </w:rPr>
        <w:t xml:space="preserve">4. </w:t>
      </w:r>
      <w:r w:rsidRPr="007706A1">
        <w:rPr>
          <w:rFonts w:ascii="Arial Narrow" w:hAnsi="Arial Narrow" w:cs="Times New Roman"/>
          <w:b/>
        </w:rPr>
        <w:t>Stávající ochranná opatření proti vnitrostátním protekcionistickým či diskriminačním opatřením, a tudíž proti překážkám volnému pohybu obalů a baleného zboží v rámci vnitřního trhu EU budou ohrožena.</w:t>
      </w:r>
    </w:p>
    <w:p w:rsidR="007B18CC" w:rsidRPr="007706A1" w:rsidRDefault="007B18CC" w:rsidP="007B18CC">
      <w:pPr>
        <w:jc w:val="both"/>
        <w:rPr>
          <w:rFonts w:ascii="Arial Narrow" w:hAnsi="Arial Narrow" w:cs="Times New Roman"/>
          <w:b/>
        </w:rPr>
      </w:pPr>
    </w:p>
    <w:p w:rsidR="007B18CC" w:rsidRPr="007706A1" w:rsidRDefault="007B18CC" w:rsidP="007B18CC">
      <w:pPr>
        <w:jc w:val="both"/>
        <w:rPr>
          <w:rFonts w:ascii="Arial Narrow" w:hAnsi="Arial Narrow" w:cs="Times New Roman"/>
        </w:rPr>
      </w:pPr>
      <w:r w:rsidRPr="007706A1">
        <w:rPr>
          <w:rFonts w:ascii="Arial Narrow" w:hAnsi="Arial Narrow" w:cs="Times New Roman"/>
        </w:rPr>
        <w:t>Směrnice PPWD má jako právní základ vnitřní trh EU a zahrnuje proces předběžného oznamování dle článku 16. Tento požadavek zajišťuje ochranu před vnitrostátními protekcionistickými či diskriminačními opatřeními, a tudíž proti překážkám volnému obchodu s obaly a baleným zbožím v rámci vnitřního trhu EU. Inovativní obalová řešení, která přispívají k ochraně životního prostředí na základě plnění základních požadavků, musí mít možnost volného oběhu po celé EU.</w:t>
      </w:r>
    </w:p>
    <w:p w:rsidR="007B18CC" w:rsidRPr="007706A1" w:rsidRDefault="007B18CC" w:rsidP="007B18CC">
      <w:pPr>
        <w:jc w:val="both"/>
        <w:rPr>
          <w:rFonts w:ascii="Arial Narrow" w:hAnsi="Arial Narrow" w:cs="Times New Roman"/>
        </w:rPr>
      </w:pPr>
    </w:p>
    <w:p w:rsidR="007B18CC" w:rsidRPr="007706A1" w:rsidRDefault="007B18CC" w:rsidP="007B18CC">
      <w:pPr>
        <w:jc w:val="both"/>
        <w:rPr>
          <w:rFonts w:ascii="Arial Narrow" w:hAnsi="Arial Narrow" w:cs="Calibri"/>
        </w:rPr>
      </w:pPr>
      <w:r w:rsidRPr="007706A1">
        <w:rPr>
          <w:rFonts w:ascii="Arial Narrow" w:hAnsi="Arial Narrow" w:cs="Times New Roman"/>
        </w:rPr>
        <w:t xml:space="preserve">Stávající směrnice PPWD usiluje o harmonizaci kroků jednotlivých členských států, zejména pomocí oznamovacích mechanismů, jak Komise sama zdůrazňuje ve své zprávě z roku 2006: </w:t>
      </w:r>
      <w:r w:rsidRPr="007706A1">
        <w:rPr>
          <w:rFonts w:ascii="Arial Narrow" w:hAnsi="Arial Narrow" w:cs="Times New Roman"/>
          <w:i/>
        </w:rPr>
        <w:t>„Navzdory cíli sm</w:t>
      </w:r>
      <w:r w:rsidRPr="007706A1">
        <w:rPr>
          <w:rFonts w:ascii="Calibri" w:eastAsia="Calibri" w:hAnsi="Calibri" w:cs="Calibri"/>
          <w:i/>
        </w:rPr>
        <w:t>ě</w:t>
      </w:r>
      <w:r w:rsidRPr="007706A1">
        <w:rPr>
          <w:rFonts w:ascii="Arial Narrow" w:hAnsi="Arial Narrow" w:cs="Calibri"/>
          <w:i/>
        </w:rPr>
        <w:t>rnice p</w:t>
      </w:r>
      <w:r w:rsidRPr="007706A1">
        <w:rPr>
          <w:rFonts w:ascii="Calibri" w:eastAsia="Calibri" w:hAnsi="Calibri" w:cs="Calibri"/>
          <w:i/>
        </w:rPr>
        <w:t>ř</w:t>
      </w:r>
      <w:r w:rsidRPr="007706A1">
        <w:rPr>
          <w:rFonts w:ascii="Arial Narrow" w:hAnsi="Arial Narrow" w:cs="Calibri"/>
          <w:i/>
        </w:rPr>
        <w:t>ispívat k fungování vnit</w:t>
      </w:r>
      <w:r w:rsidRPr="007706A1">
        <w:rPr>
          <w:rFonts w:ascii="Calibri" w:eastAsia="Calibri" w:hAnsi="Calibri" w:cs="Calibri"/>
          <w:i/>
        </w:rPr>
        <w:t>ř</w:t>
      </w:r>
      <w:r w:rsidRPr="007706A1">
        <w:rPr>
          <w:rFonts w:ascii="Arial Narrow" w:hAnsi="Arial Narrow" w:cs="Calibri"/>
          <w:i/>
        </w:rPr>
        <w:t>ního trhu a oslabení p</w:t>
      </w:r>
      <w:r w:rsidRPr="007706A1">
        <w:rPr>
          <w:rFonts w:ascii="Calibri" w:eastAsia="Calibri" w:hAnsi="Calibri" w:cs="Calibri"/>
          <w:i/>
        </w:rPr>
        <w:t>ř</w:t>
      </w:r>
      <w:r w:rsidRPr="007706A1">
        <w:rPr>
          <w:rFonts w:ascii="Arial Narrow" w:hAnsi="Arial Narrow" w:cs="Calibri"/>
          <w:i/>
        </w:rPr>
        <w:t>eká</w:t>
      </w:r>
      <w:r w:rsidRPr="007706A1">
        <w:rPr>
          <w:rFonts w:ascii="Calibri" w:eastAsia="Calibri" w:hAnsi="Calibri" w:cs="Calibri"/>
          <w:i/>
        </w:rPr>
        <w:t>ž</w:t>
      </w:r>
      <w:r w:rsidRPr="007706A1">
        <w:rPr>
          <w:rFonts w:ascii="Arial Narrow" w:hAnsi="Arial Narrow" w:cs="Calibri"/>
          <w:i/>
        </w:rPr>
        <w:t>ek obchodu, nebylo t</w:t>
      </w:r>
      <w:r w:rsidRPr="007706A1">
        <w:rPr>
          <w:rFonts w:ascii="Calibri" w:eastAsia="Calibri" w:hAnsi="Calibri" w:cs="Calibri"/>
          <w:i/>
        </w:rPr>
        <w:t>ě</w:t>
      </w:r>
      <w:r w:rsidRPr="007706A1">
        <w:rPr>
          <w:rFonts w:ascii="Arial Narrow" w:hAnsi="Arial Narrow" w:cs="Calibri"/>
          <w:i/>
        </w:rPr>
        <w:t>chto cíl</w:t>
      </w:r>
      <w:r w:rsidRPr="007706A1">
        <w:rPr>
          <w:rFonts w:ascii="Calibri" w:eastAsia="Calibri" w:hAnsi="Calibri" w:cs="Calibri"/>
          <w:i/>
        </w:rPr>
        <w:t>ů</w:t>
      </w:r>
      <w:r w:rsidRPr="007706A1">
        <w:rPr>
          <w:rFonts w:ascii="Arial Narrow" w:hAnsi="Arial Narrow" w:cs="Calibri"/>
          <w:i/>
        </w:rPr>
        <w:t xml:space="preserve"> dosud dosa</w:t>
      </w:r>
      <w:r w:rsidRPr="007706A1">
        <w:rPr>
          <w:rFonts w:ascii="Calibri" w:eastAsia="Calibri" w:hAnsi="Calibri" w:cs="Calibri"/>
          <w:i/>
        </w:rPr>
        <w:t>ž</w:t>
      </w:r>
      <w:r w:rsidRPr="007706A1">
        <w:rPr>
          <w:rFonts w:ascii="Arial Narrow" w:hAnsi="Arial Narrow" w:cs="Calibri"/>
          <w:i/>
        </w:rPr>
        <w:t>eno u všech druh</w:t>
      </w:r>
      <w:r w:rsidRPr="007706A1">
        <w:rPr>
          <w:rFonts w:ascii="Calibri" w:eastAsia="Calibri" w:hAnsi="Calibri" w:cs="Calibri"/>
          <w:i/>
        </w:rPr>
        <w:t>ů</w:t>
      </w:r>
      <w:r w:rsidRPr="007706A1">
        <w:rPr>
          <w:rFonts w:ascii="Arial Narrow" w:hAnsi="Arial Narrow" w:cs="Calibri"/>
          <w:i/>
        </w:rPr>
        <w:t xml:space="preserve"> obal</w:t>
      </w:r>
      <w:r w:rsidRPr="007706A1">
        <w:rPr>
          <w:rFonts w:ascii="Calibri" w:eastAsia="Calibri" w:hAnsi="Calibri" w:cs="Calibri"/>
          <w:i/>
        </w:rPr>
        <w:t>ů</w:t>
      </w:r>
      <w:proofErr w:type="gramStart"/>
      <w:r w:rsidRPr="007706A1">
        <w:rPr>
          <w:rFonts w:ascii="Arial Narrow" w:hAnsi="Arial Narrow" w:cs="Calibri"/>
          <w:i/>
        </w:rPr>
        <w:t>…..probíhající</w:t>
      </w:r>
      <w:proofErr w:type="gramEnd"/>
      <w:r w:rsidRPr="007706A1">
        <w:rPr>
          <w:rFonts w:ascii="Arial Narrow" w:hAnsi="Arial Narrow" w:cs="Calibri"/>
          <w:i/>
        </w:rPr>
        <w:t xml:space="preserve"> p</w:t>
      </w:r>
      <w:r w:rsidRPr="007706A1">
        <w:rPr>
          <w:rFonts w:ascii="Calibri" w:eastAsia="Calibri" w:hAnsi="Calibri" w:cs="Calibri"/>
          <w:i/>
        </w:rPr>
        <w:t>ř</w:t>
      </w:r>
      <w:r w:rsidRPr="007706A1">
        <w:rPr>
          <w:rFonts w:ascii="Arial Narrow" w:hAnsi="Arial Narrow" w:cs="Calibri"/>
          <w:i/>
        </w:rPr>
        <w:t xml:space="preserve">ípady ukazují, </w:t>
      </w:r>
      <w:r w:rsidRPr="007706A1">
        <w:rPr>
          <w:rFonts w:ascii="Calibri" w:eastAsia="Calibri" w:hAnsi="Calibri" w:cs="Calibri"/>
          <w:i/>
        </w:rPr>
        <w:t>ž</w:t>
      </w:r>
      <w:r w:rsidRPr="007706A1">
        <w:rPr>
          <w:rFonts w:ascii="Arial Narrow" w:hAnsi="Arial Narrow" w:cs="Calibri"/>
          <w:i/>
        </w:rPr>
        <w:t>e jednostranná opat</w:t>
      </w:r>
      <w:r w:rsidRPr="007706A1">
        <w:rPr>
          <w:rFonts w:ascii="Calibri" w:eastAsia="Calibri" w:hAnsi="Calibri" w:cs="Calibri"/>
          <w:i/>
        </w:rPr>
        <w:t>ř</w:t>
      </w:r>
      <w:r w:rsidRPr="007706A1">
        <w:rPr>
          <w:rFonts w:ascii="Arial Narrow" w:hAnsi="Arial Narrow" w:cs="Calibri"/>
          <w:i/>
        </w:rPr>
        <w:t>ení p</w:t>
      </w:r>
      <w:r w:rsidRPr="007706A1">
        <w:rPr>
          <w:rFonts w:ascii="Calibri" w:eastAsia="Calibri" w:hAnsi="Calibri" w:cs="Calibri"/>
          <w:i/>
        </w:rPr>
        <w:t>ř</w:t>
      </w:r>
      <w:r w:rsidRPr="007706A1">
        <w:rPr>
          <w:rFonts w:ascii="Arial Narrow" w:hAnsi="Arial Narrow" w:cs="Calibri"/>
          <w:i/>
        </w:rPr>
        <w:t>ijatá v r</w:t>
      </w:r>
      <w:r w:rsidRPr="007706A1">
        <w:rPr>
          <w:rFonts w:ascii="Calibri" w:eastAsia="Calibri" w:hAnsi="Calibri" w:cs="Calibri"/>
          <w:i/>
        </w:rPr>
        <w:t>ů</w:t>
      </w:r>
      <w:r w:rsidRPr="007706A1">
        <w:rPr>
          <w:rFonts w:ascii="Arial Narrow" w:hAnsi="Arial Narrow" w:cs="Calibri"/>
          <w:i/>
        </w:rPr>
        <w:t xml:space="preserve">zných </w:t>
      </w:r>
      <w:r w:rsidRPr="007706A1">
        <w:rPr>
          <w:rFonts w:ascii="Calibri" w:eastAsia="Calibri" w:hAnsi="Calibri" w:cs="Calibri"/>
          <w:i/>
        </w:rPr>
        <w:t>č</w:t>
      </w:r>
      <w:r w:rsidRPr="007706A1">
        <w:rPr>
          <w:rFonts w:ascii="Arial Narrow" w:hAnsi="Arial Narrow" w:cs="Calibri"/>
          <w:i/>
        </w:rPr>
        <w:t>lenských státech stále p</w:t>
      </w:r>
      <w:r w:rsidRPr="007706A1">
        <w:rPr>
          <w:rFonts w:ascii="Calibri" w:eastAsia="Calibri" w:hAnsi="Calibri" w:cs="Calibri"/>
          <w:i/>
        </w:rPr>
        <w:t>ř</w:t>
      </w:r>
      <w:r w:rsidRPr="007706A1">
        <w:rPr>
          <w:rFonts w:ascii="Arial Narrow" w:hAnsi="Arial Narrow" w:cs="Calibri"/>
          <w:i/>
        </w:rPr>
        <w:t>edstavují problémy, nebo</w:t>
      </w:r>
      <w:r w:rsidRPr="007706A1">
        <w:rPr>
          <w:rFonts w:ascii="Calibri" w:eastAsia="Calibri" w:hAnsi="Calibri" w:cs="Calibri"/>
          <w:i/>
        </w:rPr>
        <w:t>ť</w:t>
      </w:r>
      <w:r w:rsidRPr="007706A1">
        <w:rPr>
          <w:rFonts w:ascii="Arial Narrow" w:hAnsi="Arial Narrow" w:cs="Calibri"/>
          <w:i/>
        </w:rPr>
        <w:t xml:space="preserve"> po</w:t>
      </w:r>
      <w:r w:rsidRPr="007706A1">
        <w:rPr>
          <w:rFonts w:ascii="Calibri" w:eastAsia="Calibri" w:hAnsi="Calibri" w:cs="Calibri"/>
          <w:i/>
        </w:rPr>
        <w:t>ž</w:t>
      </w:r>
      <w:r w:rsidRPr="007706A1">
        <w:rPr>
          <w:rFonts w:ascii="Arial Narrow" w:hAnsi="Arial Narrow" w:cs="Calibri"/>
          <w:i/>
        </w:rPr>
        <w:t>adují od tr</w:t>
      </w:r>
      <w:r w:rsidRPr="007706A1">
        <w:rPr>
          <w:rFonts w:ascii="Calibri" w:eastAsia="Calibri" w:hAnsi="Calibri" w:cs="Calibri"/>
          <w:i/>
        </w:rPr>
        <w:t>ž</w:t>
      </w:r>
      <w:r w:rsidRPr="007706A1">
        <w:rPr>
          <w:rFonts w:ascii="Arial Narrow" w:hAnsi="Arial Narrow" w:cs="Calibri"/>
          <w:i/>
        </w:rPr>
        <w:t>ních subjekt</w:t>
      </w:r>
      <w:r w:rsidRPr="007706A1">
        <w:rPr>
          <w:rFonts w:ascii="Calibri" w:eastAsia="Calibri" w:hAnsi="Calibri" w:cs="Calibri"/>
          <w:i/>
        </w:rPr>
        <w:t>ů</w:t>
      </w:r>
      <w:r w:rsidRPr="007706A1">
        <w:rPr>
          <w:rFonts w:ascii="Arial Narrow" w:hAnsi="Arial Narrow" w:cs="Calibri"/>
          <w:i/>
        </w:rPr>
        <w:t>, aby své obaly p</w:t>
      </w:r>
      <w:r w:rsidRPr="007706A1">
        <w:rPr>
          <w:rFonts w:ascii="Calibri" w:eastAsia="Calibri" w:hAnsi="Calibri" w:cs="Calibri"/>
          <w:i/>
        </w:rPr>
        <w:t>ř</w:t>
      </w:r>
      <w:r w:rsidRPr="007706A1">
        <w:rPr>
          <w:rFonts w:ascii="Arial Narrow" w:hAnsi="Arial Narrow" w:cs="Calibri"/>
          <w:i/>
        </w:rPr>
        <w:t>izp</w:t>
      </w:r>
      <w:r w:rsidRPr="007706A1">
        <w:rPr>
          <w:rFonts w:ascii="Calibri" w:eastAsia="Calibri" w:hAnsi="Calibri" w:cs="Calibri"/>
          <w:i/>
        </w:rPr>
        <w:t>ů</w:t>
      </w:r>
      <w:r w:rsidRPr="007706A1">
        <w:rPr>
          <w:rFonts w:ascii="Arial Narrow" w:hAnsi="Arial Narrow" w:cs="Calibri"/>
          <w:i/>
        </w:rPr>
        <w:t>sobily po</w:t>
      </w:r>
      <w:r w:rsidRPr="007706A1">
        <w:rPr>
          <w:rFonts w:ascii="Calibri" w:eastAsia="Calibri" w:hAnsi="Calibri" w:cs="Calibri"/>
          <w:i/>
        </w:rPr>
        <w:t>ž</w:t>
      </w:r>
      <w:r w:rsidRPr="007706A1">
        <w:rPr>
          <w:rFonts w:ascii="Arial Narrow" w:hAnsi="Arial Narrow" w:cs="Calibri"/>
          <w:i/>
        </w:rPr>
        <w:t>adavk</w:t>
      </w:r>
      <w:r w:rsidRPr="007706A1">
        <w:rPr>
          <w:rFonts w:ascii="Calibri" w:eastAsia="Calibri" w:hAnsi="Calibri" w:cs="Calibri"/>
          <w:i/>
        </w:rPr>
        <w:t>ů</w:t>
      </w:r>
      <w:r w:rsidRPr="007706A1">
        <w:rPr>
          <w:rFonts w:ascii="Arial Narrow" w:hAnsi="Arial Narrow" w:cs="Calibri"/>
          <w:i/>
        </w:rPr>
        <w:t xml:space="preserve">m jednotlivých </w:t>
      </w:r>
      <w:r w:rsidRPr="007706A1">
        <w:rPr>
          <w:rFonts w:ascii="Calibri" w:eastAsia="Calibri" w:hAnsi="Calibri" w:cs="Calibri"/>
          <w:i/>
        </w:rPr>
        <w:t>č</w:t>
      </w:r>
      <w:r w:rsidRPr="007706A1">
        <w:rPr>
          <w:rFonts w:ascii="Arial Narrow" w:hAnsi="Arial Narrow" w:cs="Calibri"/>
          <w:i/>
        </w:rPr>
        <w:t>lenských stát</w:t>
      </w:r>
      <w:r w:rsidRPr="007706A1">
        <w:rPr>
          <w:rFonts w:ascii="Calibri" w:eastAsia="Calibri" w:hAnsi="Calibri" w:cs="Calibri"/>
          <w:i/>
        </w:rPr>
        <w:t>ů</w:t>
      </w:r>
      <w:r w:rsidRPr="007706A1">
        <w:rPr>
          <w:rFonts w:ascii="Arial Narrow" w:hAnsi="Arial Narrow" w:cs="Calibri"/>
          <w:i/>
        </w:rPr>
        <w:t>, co</w:t>
      </w:r>
      <w:r w:rsidRPr="007706A1">
        <w:rPr>
          <w:rFonts w:ascii="Calibri" w:eastAsia="Calibri" w:hAnsi="Calibri" w:cs="Calibri"/>
          <w:i/>
        </w:rPr>
        <w:t>ž</w:t>
      </w:r>
      <w:r w:rsidRPr="007706A1">
        <w:rPr>
          <w:rFonts w:ascii="Arial Narrow" w:hAnsi="Arial Narrow" w:cs="Calibri"/>
          <w:i/>
        </w:rPr>
        <w:t xml:space="preserve"> jim zt</w:t>
      </w:r>
      <w:r w:rsidRPr="007706A1">
        <w:rPr>
          <w:rFonts w:ascii="Calibri" w:eastAsia="Calibri" w:hAnsi="Calibri" w:cs="Calibri"/>
          <w:i/>
        </w:rPr>
        <w:t>ěž</w:t>
      </w:r>
      <w:r w:rsidRPr="007706A1">
        <w:rPr>
          <w:rFonts w:ascii="Arial Narrow" w:hAnsi="Arial Narrow" w:cs="Calibri"/>
          <w:i/>
        </w:rPr>
        <w:t>uje mo</w:t>
      </w:r>
      <w:r w:rsidRPr="007706A1">
        <w:rPr>
          <w:rFonts w:ascii="Calibri" w:eastAsia="Calibri" w:hAnsi="Calibri" w:cs="Calibri"/>
          <w:i/>
        </w:rPr>
        <w:t>ž</w:t>
      </w:r>
      <w:r w:rsidRPr="007706A1">
        <w:rPr>
          <w:rFonts w:ascii="Arial Narrow" w:hAnsi="Arial Narrow" w:cs="Calibri"/>
          <w:i/>
        </w:rPr>
        <w:t>nost vyu</w:t>
      </w:r>
      <w:r w:rsidRPr="007706A1">
        <w:rPr>
          <w:rFonts w:ascii="Calibri" w:eastAsia="Calibri" w:hAnsi="Calibri" w:cs="Calibri"/>
          <w:i/>
        </w:rPr>
        <w:t>ž</w:t>
      </w:r>
      <w:r w:rsidRPr="007706A1">
        <w:rPr>
          <w:rFonts w:ascii="Arial Narrow" w:hAnsi="Arial Narrow" w:cs="Calibri"/>
          <w:i/>
        </w:rPr>
        <w:t>ívat obchodní p</w:t>
      </w:r>
      <w:r w:rsidRPr="007706A1">
        <w:rPr>
          <w:rFonts w:ascii="Calibri" w:eastAsia="Calibri" w:hAnsi="Calibri" w:cs="Calibri"/>
          <w:i/>
        </w:rPr>
        <w:t>ř</w:t>
      </w:r>
      <w:r w:rsidRPr="007706A1">
        <w:rPr>
          <w:rFonts w:ascii="Arial Narrow" w:hAnsi="Arial Narrow" w:cs="Calibri"/>
          <w:i/>
        </w:rPr>
        <w:t>íle</w:t>
      </w:r>
      <w:r w:rsidRPr="007706A1">
        <w:rPr>
          <w:rFonts w:ascii="Calibri" w:eastAsia="Calibri" w:hAnsi="Calibri" w:cs="Calibri"/>
          <w:i/>
        </w:rPr>
        <w:t>ž</w:t>
      </w:r>
      <w:r w:rsidRPr="007706A1">
        <w:rPr>
          <w:rFonts w:ascii="Arial Narrow" w:hAnsi="Arial Narrow" w:cs="Calibri"/>
          <w:i/>
        </w:rPr>
        <w:t>itosti v rámci vnit</w:t>
      </w:r>
      <w:r w:rsidRPr="007706A1">
        <w:rPr>
          <w:rFonts w:ascii="Calibri" w:eastAsia="Calibri" w:hAnsi="Calibri" w:cs="Calibri"/>
          <w:i/>
        </w:rPr>
        <w:t>ř</w:t>
      </w:r>
      <w:r w:rsidRPr="007706A1">
        <w:rPr>
          <w:rFonts w:ascii="Arial Narrow" w:hAnsi="Arial Narrow" w:cs="Calibri"/>
          <w:i/>
        </w:rPr>
        <w:t>ního trhu prodejem stejného výrobku ve stejném obalu na r</w:t>
      </w:r>
      <w:r w:rsidRPr="007706A1">
        <w:rPr>
          <w:rFonts w:ascii="Calibri" w:eastAsia="Calibri" w:hAnsi="Calibri" w:cs="Calibri"/>
          <w:i/>
        </w:rPr>
        <w:t>ů</w:t>
      </w:r>
      <w:r w:rsidRPr="007706A1">
        <w:rPr>
          <w:rFonts w:ascii="Arial Narrow" w:hAnsi="Arial Narrow" w:cs="Calibri"/>
          <w:i/>
        </w:rPr>
        <w:t>zných trzích.“</w:t>
      </w:r>
      <w:r w:rsidRPr="007706A1">
        <w:rPr>
          <w:rStyle w:val="Znakapoznpodarou"/>
          <w:rFonts w:ascii="Arial Narrow" w:hAnsi="Arial Narrow" w:cs="Calibri"/>
          <w:i/>
        </w:rPr>
        <w:footnoteReference w:id="3"/>
      </w:r>
      <w:r w:rsidRPr="007706A1">
        <w:rPr>
          <w:rFonts w:ascii="Arial Narrow" w:hAnsi="Arial Narrow" w:cs="Calibri"/>
          <w:i/>
        </w:rPr>
        <w:t xml:space="preserve"> </w:t>
      </w:r>
      <w:r w:rsidRPr="007706A1">
        <w:rPr>
          <w:rFonts w:ascii="Arial Narrow" w:hAnsi="Arial Narrow" w:cs="Calibri"/>
        </w:rPr>
        <w:t xml:space="preserve">Zpráva pokračuje následovně: </w:t>
      </w:r>
      <w:r w:rsidRPr="007706A1">
        <w:rPr>
          <w:rFonts w:ascii="Arial Narrow" w:hAnsi="Arial Narrow" w:cs="Calibri"/>
          <w:i/>
        </w:rPr>
        <w:t>„…vnitrostátní opat</w:t>
      </w:r>
      <w:r w:rsidRPr="007706A1">
        <w:rPr>
          <w:rFonts w:ascii="Calibri" w:eastAsia="Calibri" w:hAnsi="Calibri" w:cs="Calibri"/>
          <w:i/>
        </w:rPr>
        <w:t>ř</w:t>
      </w:r>
      <w:r w:rsidRPr="007706A1">
        <w:rPr>
          <w:rFonts w:ascii="Arial Narrow" w:hAnsi="Arial Narrow" w:cs="Calibri"/>
          <w:i/>
        </w:rPr>
        <w:t>ení mohou vést k narušení hospodá</w:t>
      </w:r>
      <w:r w:rsidRPr="007706A1">
        <w:rPr>
          <w:rFonts w:ascii="Calibri" w:eastAsia="Calibri" w:hAnsi="Calibri" w:cs="Calibri"/>
          <w:i/>
        </w:rPr>
        <w:t>ř</w:t>
      </w:r>
      <w:r w:rsidRPr="007706A1">
        <w:rPr>
          <w:rFonts w:ascii="Arial Narrow" w:hAnsi="Arial Narrow" w:cs="Calibri"/>
          <w:i/>
        </w:rPr>
        <w:t>ské sout</w:t>
      </w:r>
      <w:r w:rsidRPr="007706A1">
        <w:rPr>
          <w:rFonts w:ascii="Calibri" w:eastAsia="Calibri" w:hAnsi="Calibri" w:cs="Calibri"/>
          <w:i/>
        </w:rPr>
        <w:t>ěž</w:t>
      </w:r>
      <w:r w:rsidRPr="007706A1">
        <w:rPr>
          <w:rFonts w:ascii="Arial Narrow" w:hAnsi="Arial Narrow" w:cs="Calibri"/>
          <w:i/>
        </w:rPr>
        <w:t>e a v n</w:t>
      </w:r>
      <w:r w:rsidRPr="007706A1">
        <w:rPr>
          <w:rFonts w:ascii="Calibri" w:eastAsia="Calibri" w:hAnsi="Calibri" w:cs="Calibri"/>
          <w:i/>
        </w:rPr>
        <w:t>ě</w:t>
      </w:r>
      <w:r w:rsidRPr="007706A1">
        <w:rPr>
          <w:rFonts w:ascii="Arial Narrow" w:hAnsi="Arial Narrow" w:cs="Calibri"/>
          <w:i/>
        </w:rPr>
        <w:t>kterých p</w:t>
      </w:r>
      <w:r w:rsidRPr="007706A1">
        <w:rPr>
          <w:rFonts w:ascii="Calibri" w:eastAsia="Calibri" w:hAnsi="Calibri" w:cs="Calibri"/>
          <w:i/>
        </w:rPr>
        <w:t>ř</w:t>
      </w:r>
      <w:r w:rsidRPr="007706A1">
        <w:rPr>
          <w:rFonts w:ascii="Arial Narrow" w:hAnsi="Arial Narrow" w:cs="Calibri"/>
          <w:i/>
        </w:rPr>
        <w:t>ípadech k rozd</w:t>
      </w:r>
      <w:r w:rsidRPr="007706A1">
        <w:rPr>
          <w:rFonts w:ascii="Calibri" w:eastAsia="Calibri" w:hAnsi="Calibri" w:cs="Calibri"/>
          <w:i/>
        </w:rPr>
        <w:t>ě</w:t>
      </w:r>
      <w:r w:rsidRPr="007706A1">
        <w:rPr>
          <w:rFonts w:ascii="Arial Narrow" w:hAnsi="Arial Narrow" w:cs="Calibri"/>
          <w:i/>
        </w:rPr>
        <w:t>lení vnit</w:t>
      </w:r>
      <w:r w:rsidRPr="007706A1">
        <w:rPr>
          <w:rFonts w:ascii="Calibri" w:eastAsia="Calibri" w:hAnsi="Calibri" w:cs="Calibri"/>
          <w:i/>
        </w:rPr>
        <w:t>ř</w:t>
      </w:r>
      <w:r w:rsidRPr="007706A1">
        <w:rPr>
          <w:rFonts w:ascii="Arial Narrow" w:hAnsi="Arial Narrow" w:cs="Calibri"/>
          <w:i/>
        </w:rPr>
        <w:t>ního trhu, co</w:t>
      </w:r>
      <w:r w:rsidRPr="007706A1">
        <w:rPr>
          <w:rFonts w:ascii="Calibri" w:eastAsia="Calibri" w:hAnsi="Calibri" w:cs="Calibri"/>
          <w:i/>
        </w:rPr>
        <w:t>ž</w:t>
      </w:r>
      <w:r w:rsidRPr="007706A1">
        <w:rPr>
          <w:rFonts w:ascii="Arial Narrow" w:hAnsi="Arial Narrow" w:cs="Calibri"/>
          <w:i/>
        </w:rPr>
        <w:t xml:space="preserve"> je v rozporu s cíli sm</w:t>
      </w:r>
      <w:r w:rsidRPr="007706A1">
        <w:rPr>
          <w:rFonts w:ascii="Calibri" w:eastAsia="Calibri" w:hAnsi="Calibri" w:cs="Calibri"/>
          <w:i/>
        </w:rPr>
        <w:t>ě</w:t>
      </w:r>
      <w:r w:rsidRPr="007706A1">
        <w:rPr>
          <w:rFonts w:ascii="Arial Narrow" w:hAnsi="Arial Narrow" w:cs="Calibri"/>
          <w:i/>
        </w:rPr>
        <w:t xml:space="preserve">rnice“. </w:t>
      </w:r>
      <w:r w:rsidRPr="007706A1">
        <w:rPr>
          <w:rFonts w:ascii="Arial Narrow" w:hAnsi="Arial Narrow" w:cs="Calibri"/>
        </w:rPr>
        <w:t>A k tomu dochází i dnes, a proto potřeba zachovat vnitřní trh jako právní základ směrnice je ještě naléhavější.</w:t>
      </w:r>
    </w:p>
    <w:p w:rsidR="007B18CC" w:rsidRPr="007706A1" w:rsidRDefault="007B18CC" w:rsidP="007B18CC">
      <w:pPr>
        <w:jc w:val="both"/>
        <w:rPr>
          <w:rFonts w:ascii="Arial Narrow" w:hAnsi="Arial Narrow" w:cs="Calibri"/>
        </w:rPr>
      </w:pPr>
    </w:p>
    <w:p w:rsidR="007B18CC" w:rsidRPr="007706A1" w:rsidRDefault="007B18CC" w:rsidP="007B18CC">
      <w:pPr>
        <w:jc w:val="both"/>
        <w:rPr>
          <w:rFonts w:ascii="Arial Narrow" w:hAnsi="Arial Narrow" w:cs="Calibri"/>
        </w:rPr>
      </w:pPr>
      <w:r w:rsidRPr="007706A1">
        <w:rPr>
          <w:rFonts w:ascii="Arial Narrow" w:hAnsi="Arial Narrow" w:cs="Calibri"/>
        </w:rPr>
        <w:t xml:space="preserve">Klíčové je posoudit faktory vedoucí k vypracování pozměňovacích návrhů ke směrnici PPWD i širší souvislosti, ve kterých byly navrženy. Balíček oběhového hospodářství předložený v roce 2015 zahrnoval přepracované legislativní návrhy týkající se odpadů (včetně revizí směrnice PPWD) s cílem </w:t>
      </w:r>
      <w:r w:rsidRPr="007706A1">
        <w:rPr>
          <w:rFonts w:ascii="Arial Narrow" w:hAnsi="Arial Narrow" w:cs="Calibri"/>
          <w:i/>
        </w:rPr>
        <w:t>„podporovat p</w:t>
      </w:r>
      <w:r w:rsidRPr="007706A1">
        <w:rPr>
          <w:rFonts w:ascii="Calibri" w:eastAsia="Calibri" w:hAnsi="Calibri" w:cs="Calibri"/>
          <w:i/>
        </w:rPr>
        <w:t>ř</w:t>
      </w:r>
      <w:r w:rsidRPr="007706A1">
        <w:rPr>
          <w:rFonts w:ascii="Arial Narrow" w:hAnsi="Arial Narrow" w:cs="Calibri"/>
          <w:i/>
        </w:rPr>
        <w:t>echod Evropy na ob</w:t>
      </w:r>
      <w:r w:rsidRPr="007706A1">
        <w:rPr>
          <w:rFonts w:ascii="Calibri" w:eastAsia="Calibri" w:hAnsi="Calibri" w:cs="Calibri"/>
          <w:i/>
        </w:rPr>
        <w:t>ě</w:t>
      </w:r>
      <w:r w:rsidRPr="007706A1">
        <w:rPr>
          <w:rFonts w:ascii="Arial Narrow" w:hAnsi="Arial Narrow" w:cs="Calibri"/>
          <w:i/>
        </w:rPr>
        <w:t>hové hospodá</w:t>
      </w:r>
      <w:r w:rsidRPr="007706A1">
        <w:rPr>
          <w:rFonts w:ascii="Calibri" w:eastAsia="Calibri" w:hAnsi="Calibri" w:cs="Calibri"/>
          <w:i/>
        </w:rPr>
        <w:t>ř</w:t>
      </w:r>
      <w:r w:rsidRPr="007706A1">
        <w:rPr>
          <w:rFonts w:ascii="Arial Narrow" w:hAnsi="Arial Narrow" w:cs="Calibri"/>
          <w:i/>
        </w:rPr>
        <w:t>ství, které posílí celkovou konkurenceschopnost, podpo</w:t>
      </w:r>
      <w:r w:rsidRPr="007706A1">
        <w:rPr>
          <w:rFonts w:ascii="Calibri" w:eastAsia="Calibri" w:hAnsi="Calibri" w:cs="Calibri"/>
          <w:i/>
        </w:rPr>
        <w:t>ř</w:t>
      </w:r>
      <w:r w:rsidRPr="007706A1">
        <w:rPr>
          <w:rFonts w:ascii="Arial Narrow" w:hAnsi="Arial Narrow" w:cs="Calibri"/>
          <w:i/>
        </w:rPr>
        <w:t>í udr</w:t>
      </w:r>
      <w:r w:rsidRPr="007706A1">
        <w:rPr>
          <w:rFonts w:ascii="Calibri" w:eastAsia="Calibri" w:hAnsi="Calibri" w:cs="Calibri"/>
          <w:i/>
        </w:rPr>
        <w:t>ž</w:t>
      </w:r>
      <w:r w:rsidRPr="007706A1">
        <w:rPr>
          <w:rFonts w:ascii="Arial Narrow" w:hAnsi="Arial Narrow" w:cs="Calibri"/>
          <w:i/>
        </w:rPr>
        <w:t>itelný hospodá</w:t>
      </w:r>
      <w:r w:rsidRPr="007706A1">
        <w:rPr>
          <w:rFonts w:ascii="Calibri" w:eastAsia="Calibri" w:hAnsi="Calibri" w:cs="Calibri"/>
          <w:i/>
        </w:rPr>
        <w:t>ř</w:t>
      </w:r>
      <w:r w:rsidRPr="007706A1">
        <w:rPr>
          <w:rFonts w:ascii="Arial Narrow" w:hAnsi="Arial Narrow" w:cs="Calibri"/>
          <w:i/>
        </w:rPr>
        <w:t>ský r</w:t>
      </w:r>
      <w:r w:rsidRPr="007706A1">
        <w:rPr>
          <w:rFonts w:ascii="Calibri" w:eastAsia="Calibri" w:hAnsi="Calibri" w:cs="Calibri"/>
          <w:i/>
        </w:rPr>
        <w:t>ů</w:t>
      </w:r>
      <w:r w:rsidRPr="007706A1">
        <w:rPr>
          <w:rFonts w:ascii="Arial Narrow" w:hAnsi="Arial Narrow" w:cs="Calibri"/>
          <w:i/>
        </w:rPr>
        <w:t>st a vytvo</w:t>
      </w:r>
      <w:r w:rsidRPr="007706A1">
        <w:rPr>
          <w:rFonts w:ascii="Calibri" w:eastAsia="Calibri" w:hAnsi="Calibri" w:cs="Calibri"/>
          <w:i/>
        </w:rPr>
        <w:t>ř</w:t>
      </w:r>
      <w:r w:rsidRPr="007706A1">
        <w:rPr>
          <w:rFonts w:ascii="Arial Narrow" w:hAnsi="Arial Narrow" w:cs="Calibri"/>
          <w:i/>
        </w:rPr>
        <w:t xml:space="preserve">í nová pracovní místa.“ </w:t>
      </w:r>
      <w:r w:rsidRPr="007706A1">
        <w:rPr>
          <w:rFonts w:ascii="Arial Narrow" w:hAnsi="Arial Narrow" w:cs="Calibri"/>
        </w:rPr>
        <w:t xml:space="preserve">Současný návrh na změnu právního základu pozměňovacích návrhů směrnice PPWD se v tomto ohledu jasně staví proti vlastním deklarovaným cílům Komise. Celková odpadová politika Unie svojí podstatou vychází z myšlenky, že žádný plastikový sáček ani chytrý telefon by neměl být ukládán do země ani spálen, ale měl by být opětovně použit, využit či recyklován, a tudíž znovu zaveden jako obchodovatelné zboží na vnitřní trh. A proto by cíle Unie v oblasti životního prostředí měly být plněny na základě neustálého kladení důrazu na neomezený obchod s odpadem jako zbožím v rámci jednotného trhu, což – v kontextu obalové směrnice – může jednoznačně zajistit pouze právní základ dle článku 114. </w:t>
      </w:r>
    </w:p>
    <w:p w:rsidR="007B18CC" w:rsidRPr="007706A1" w:rsidRDefault="007B18CC" w:rsidP="007B18CC">
      <w:pPr>
        <w:jc w:val="both"/>
        <w:rPr>
          <w:rFonts w:ascii="Arial Narrow" w:hAnsi="Arial Narrow" w:cs="Calibri"/>
        </w:rPr>
      </w:pPr>
    </w:p>
    <w:p w:rsidR="007B18CC" w:rsidRPr="007706A1" w:rsidRDefault="007B18CC" w:rsidP="007B18CC">
      <w:pPr>
        <w:jc w:val="both"/>
        <w:rPr>
          <w:rFonts w:ascii="Arial Narrow" w:hAnsi="Arial Narrow" w:cs="Calibri"/>
        </w:rPr>
      </w:pPr>
      <w:r w:rsidRPr="007706A1">
        <w:rPr>
          <w:rFonts w:ascii="Arial Narrow" w:hAnsi="Arial Narrow" w:cs="Calibri"/>
        </w:rPr>
        <w:lastRenderedPageBreak/>
        <w:t>V následující části je uveden příklad odpadu, který je obchodovatelným zbožím, jenž upřednostňuje posilování, a nikoliv oslabování harmonizace. Ne všechny členské státy mají stejnou definici odpadu. V jednom případě zpracovatelský závod v jednom členském státu označil čistý odmítnutý obalový materiál za odpad a poslal ho k recyklaci do jiného členského státu, kde místní provozovatel recyklačního zařízení nepotřeboval povolení k nakládání s odpadem, neboť v daném členském státě dobrý hygienický stav materiálu podle vnitrostátních zákonů znamená, že je možné tento materiál zpracovávat jako surovinu. Dokonce i podle stávajícího znění směrnice PPWD mohou odlišné výklady v jednotlivých členských státech bránit přeshraničnímu obchodu s materiály použitými k recyklaci.</w:t>
      </w:r>
    </w:p>
    <w:p w:rsidR="007B18CC" w:rsidRPr="007706A1" w:rsidRDefault="007B18CC" w:rsidP="007B18CC">
      <w:pPr>
        <w:jc w:val="both"/>
        <w:rPr>
          <w:rFonts w:ascii="Arial Narrow" w:hAnsi="Arial Narrow" w:cs="Calibri"/>
        </w:rPr>
      </w:pPr>
    </w:p>
    <w:p w:rsidR="007B18CC" w:rsidRPr="007706A1" w:rsidRDefault="007B18CC" w:rsidP="007B18CC">
      <w:pPr>
        <w:jc w:val="both"/>
        <w:rPr>
          <w:rFonts w:ascii="Arial Narrow" w:hAnsi="Arial Narrow" w:cs="Calibri"/>
        </w:rPr>
      </w:pPr>
      <w:r w:rsidRPr="007706A1">
        <w:rPr>
          <w:rFonts w:ascii="Arial Narrow" w:hAnsi="Arial Narrow" w:cs="Calibri"/>
        </w:rPr>
        <w:t>Účel oběhového hospodářství v oblasti obalů a obalových odpadů v Evropě by byl neblaze narušen, kdyby vnitřní trh nefungoval řádně. A to proto, že by byl ohrožen jak vnitřní trh jako jediný právní základ, tak proces předběžného oznamování jako stávající ochranná opatření proti protekcionistickým či diskriminačním opatřením.</w:t>
      </w:r>
    </w:p>
    <w:p w:rsidR="007B18CC" w:rsidRPr="007706A1" w:rsidRDefault="007B18CC" w:rsidP="007B18CC">
      <w:pPr>
        <w:jc w:val="both"/>
        <w:rPr>
          <w:rFonts w:ascii="Arial Narrow" w:hAnsi="Arial Narrow" w:cs="Calibri"/>
        </w:rPr>
      </w:pPr>
    </w:p>
    <w:p w:rsidR="007B18CC" w:rsidRPr="007706A1" w:rsidRDefault="007B18CC" w:rsidP="007B18CC">
      <w:pPr>
        <w:jc w:val="both"/>
        <w:rPr>
          <w:rFonts w:ascii="Arial Narrow" w:hAnsi="Arial Narrow" w:cs="Times New Roman"/>
          <w:b/>
        </w:rPr>
      </w:pPr>
      <w:r w:rsidRPr="007706A1">
        <w:rPr>
          <w:rFonts w:ascii="Arial Narrow" w:hAnsi="Arial Narrow" w:cs="Calibri"/>
          <w:b/>
        </w:rPr>
        <w:t xml:space="preserve">5. </w:t>
      </w:r>
      <w:r w:rsidRPr="007706A1">
        <w:rPr>
          <w:rFonts w:ascii="Arial Narrow" w:hAnsi="Arial Narrow" w:cs="Times New Roman"/>
          <w:b/>
        </w:rPr>
        <w:t>Nebylo provedeno žádné vyhodnocení rizik v souladu s Agendou pro zlepšení právní úpravy s cílem pochopit případné důsledky změny právního základu.</w:t>
      </w:r>
    </w:p>
    <w:p w:rsidR="007B18CC" w:rsidRPr="007706A1" w:rsidRDefault="007B18CC" w:rsidP="007B18CC">
      <w:pPr>
        <w:jc w:val="both"/>
        <w:rPr>
          <w:rFonts w:ascii="Arial Narrow" w:hAnsi="Arial Narrow" w:cs="Times New Roman"/>
          <w:b/>
        </w:rPr>
      </w:pPr>
    </w:p>
    <w:p w:rsidR="007B18CC" w:rsidRPr="007706A1" w:rsidRDefault="007B18CC" w:rsidP="007B18CC">
      <w:pPr>
        <w:jc w:val="both"/>
        <w:rPr>
          <w:rFonts w:ascii="Arial Narrow" w:hAnsi="Arial Narrow" w:cs="Calibri"/>
        </w:rPr>
      </w:pPr>
      <w:r w:rsidRPr="007706A1">
        <w:rPr>
          <w:rFonts w:ascii="Arial Narrow" w:hAnsi="Arial Narrow" w:cs="Times New Roman"/>
        </w:rPr>
        <w:t xml:space="preserve">Rádi bychom poukázali na to, že navzdory případným dopadům avizované změny nebylo provedeno žádné vyhodnocení, které by ukázalo pravděpodobné dopady opatření, ani kdo by jím byl zasažen a jak. V Agendě pro zlepšení právní úpravy, kterou Evropská komise přijala v květnu 2015, se jasně uvádí, že hodnocení dopadů se neomezuje pouze na fázi přípravy legislativy: </w:t>
      </w:r>
      <w:r w:rsidRPr="007706A1">
        <w:rPr>
          <w:rFonts w:ascii="Arial Narrow" w:hAnsi="Arial Narrow" w:cs="Times New Roman"/>
          <w:i/>
        </w:rPr>
        <w:t>„Musíme provést d</w:t>
      </w:r>
      <w:r w:rsidRPr="007706A1">
        <w:rPr>
          <w:rFonts w:ascii="Calibri" w:eastAsia="Calibri" w:hAnsi="Calibri" w:cs="Calibri"/>
          <w:i/>
        </w:rPr>
        <w:t>ů</w:t>
      </w:r>
      <w:r w:rsidRPr="007706A1">
        <w:rPr>
          <w:rFonts w:ascii="Arial Narrow" w:hAnsi="Arial Narrow" w:cs="Calibri"/>
          <w:i/>
        </w:rPr>
        <w:t>sledné posouzení dopadu právních p</w:t>
      </w:r>
      <w:r w:rsidRPr="007706A1">
        <w:rPr>
          <w:rFonts w:ascii="Calibri" w:eastAsia="Calibri" w:hAnsi="Calibri" w:cs="Calibri"/>
          <w:i/>
        </w:rPr>
        <w:t>ř</w:t>
      </w:r>
      <w:r w:rsidRPr="007706A1">
        <w:rPr>
          <w:rFonts w:ascii="Arial Narrow" w:hAnsi="Arial Narrow" w:cs="Calibri"/>
          <w:i/>
        </w:rPr>
        <w:t>edpis</w:t>
      </w:r>
      <w:r w:rsidRPr="007706A1">
        <w:rPr>
          <w:rFonts w:ascii="Calibri" w:eastAsia="Calibri" w:hAnsi="Calibri" w:cs="Calibri"/>
          <w:i/>
        </w:rPr>
        <w:t>ů</w:t>
      </w:r>
      <w:r w:rsidRPr="007706A1">
        <w:rPr>
          <w:rFonts w:ascii="Arial Narrow" w:hAnsi="Arial Narrow" w:cs="Calibri"/>
          <w:i/>
        </w:rPr>
        <w:t xml:space="preserve"> v pr</w:t>
      </w:r>
      <w:r w:rsidRPr="007706A1">
        <w:rPr>
          <w:rFonts w:ascii="Calibri" w:eastAsia="Calibri" w:hAnsi="Calibri" w:cs="Calibri"/>
          <w:i/>
        </w:rPr>
        <w:t>ů</w:t>
      </w:r>
      <w:r w:rsidRPr="007706A1">
        <w:rPr>
          <w:rFonts w:ascii="Arial Narrow" w:hAnsi="Arial Narrow" w:cs="Calibri"/>
          <w:i/>
        </w:rPr>
        <w:t>b</w:t>
      </w:r>
      <w:r w:rsidRPr="007706A1">
        <w:rPr>
          <w:rFonts w:ascii="Calibri" w:eastAsia="Calibri" w:hAnsi="Calibri" w:cs="Calibri"/>
          <w:i/>
        </w:rPr>
        <w:t>ě</w:t>
      </w:r>
      <w:r w:rsidRPr="007706A1">
        <w:rPr>
          <w:rFonts w:ascii="Arial Narrow" w:hAnsi="Arial Narrow" w:cs="Calibri"/>
          <w:i/>
        </w:rPr>
        <w:t>hu jejich vytvá</w:t>
      </w:r>
      <w:r w:rsidRPr="007706A1">
        <w:rPr>
          <w:rFonts w:ascii="Calibri" w:eastAsia="Calibri" w:hAnsi="Calibri" w:cs="Calibri"/>
          <w:i/>
        </w:rPr>
        <w:t>ř</w:t>
      </w:r>
      <w:r w:rsidRPr="007706A1">
        <w:rPr>
          <w:rFonts w:ascii="Arial Narrow" w:hAnsi="Arial Narrow" w:cs="Calibri"/>
          <w:i/>
        </w:rPr>
        <w:t>ení, v</w:t>
      </w:r>
      <w:r w:rsidRPr="007706A1">
        <w:rPr>
          <w:rFonts w:ascii="Calibri" w:eastAsia="Calibri" w:hAnsi="Calibri" w:cs="Calibri"/>
          <w:i/>
        </w:rPr>
        <w:t>č</w:t>
      </w:r>
      <w:r w:rsidRPr="007706A1">
        <w:rPr>
          <w:rFonts w:ascii="Arial Narrow" w:hAnsi="Arial Narrow" w:cs="Calibri"/>
          <w:i/>
        </w:rPr>
        <w:t>etn</w:t>
      </w:r>
      <w:r w:rsidRPr="007706A1">
        <w:rPr>
          <w:rFonts w:ascii="Calibri" w:eastAsia="Calibri" w:hAnsi="Calibri" w:cs="Calibri"/>
          <w:i/>
        </w:rPr>
        <w:t>ě</w:t>
      </w:r>
      <w:r w:rsidRPr="007706A1">
        <w:rPr>
          <w:rFonts w:ascii="Arial Narrow" w:hAnsi="Arial Narrow" w:cs="Calibri"/>
          <w:i/>
        </w:rPr>
        <w:t xml:space="preserve"> podstatných pozm</w:t>
      </w:r>
      <w:r w:rsidRPr="007706A1">
        <w:rPr>
          <w:rFonts w:ascii="Calibri" w:eastAsia="Calibri" w:hAnsi="Calibri" w:cs="Calibri"/>
          <w:i/>
        </w:rPr>
        <w:t>ěň</w:t>
      </w:r>
      <w:r w:rsidRPr="007706A1">
        <w:rPr>
          <w:rFonts w:ascii="Arial Narrow" w:hAnsi="Arial Narrow" w:cs="Calibri"/>
          <w:i/>
        </w:rPr>
        <w:t>ovacích návrh</w:t>
      </w:r>
      <w:r w:rsidRPr="007706A1">
        <w:rPr>
          <w:rFonts w:ascii="Calibri" w:eastAsia="Calibri" w:hAnsi="Calibri" w:cs="Calibri"/>
          <w:i/>
        </w:rPr>
        <w:t>ů</w:t>
      </w:r>
      <w:r w:rsidRPr="007706A1">
        <w:rPr>
          <w:rFonts w:ascii="Arial Narrow" w:hAnsi="Arial Narrow" w:cs="Calibri"/>
          <w:i/>
        </w:rPr>
        <w:t xml:space="preserve"> p</w:t>
      </w:r>
      <w:r w:rsidRPr="007706A1">
        <w:rPr>
          <w:rFonts w:ascii="Calibri" w:eastAsia="Calibri" w:hAnsi="Calibri" w:cs="Calibri"/>
          <w:i/>
        </w:rPr>
        <w:t>ř</w:t>
      </w:r>
      <w:r w:rsidRPr="007706A1">
        <w:rPr>
          <w:rFonts w:ascii="Arial Narrow" w:hAnsi="Arial Narrow" w:cs="Calibri"/>
          <w:i/>
        </w:rPr>
        <w:t>edkládaných v pr</w:t>
      </w:r>
      <w:r w:rsidRPr="007706A1">
        <w:rPr>
          <w:rFonts w:ascii="Calibri" w:eastAsia="Calibri" w:hAnsi="Calibri" w:cs="Calibri"/>
          <w:i/>
        </w:rPr>
        <w:t>ů</w:t>
      </w:r>
      <w:r w:rsidRPr="007706A1">
        <w:rPr>
          <w:rFonts w:ascii="Arial Narrow" w:hAnsi="Arial Narrow" w:cs="Calibri"/>
          <w:i/>
        </w:rPr>
        <w:t>b</w:t>
      </w:r>
      <w:r w:rsidRPr="007706A1">
        <w:rPr>
          <w:rFonts w:ascii="Calibri" w:eastAsia="Calibri" w:hAnsi="Calibri" w:cs="Calibri"/>
          <w:i/>
        </w:rPr>
        <w:t>ě</w:t>
      </w:r>
      <w:r w:rsidRPr="007706A1">
        <w:rPr>
          <w:rFonts w:ascii="Arial Narrow" w:hAnsi="Arial Narrow" w:cs="Calibri"/>
          <w:i/>
        </w:rPr>
        <w:t xml:space="preserve">hu legislativního procesu tak, aby byla politická rozhodnutí </w:t>
      </w:r>
      <w:r w:rsidRPr="007706A1">
        <w:rPr>
          <w:rFonts w:ascii="Calibri" w:eastAsia="Calibri" w:hAnsi="Calibri" w:cs="Calibri"/>
          <w:i/>
        </w:rPr>
        <w:t>č</w:t>
      </w:r>
      <w:r w:rsidRPr="007706A1">
        <w:rPr>
          <w:rFonts w:ascii="Arial Narrow" w:hAnsi="Arial Narrow" w:cs="Calibri"/>
          <w:i/>
        </w:rPr>
        <w:t>in</w:t>
      </w:r>
      <w:r w:rsidRPr="007706A1">
        <w:rPr>
          <w:rFonts w:ascii="Calibri" w:eastAsia="Calibri" w:hAnsi="Calibri" w:cs="Calibri"/>
          <w:i/>
        </w:rPr>
        <w:t>ě</w:t>
      </w:r>
      <w:r w:rsidRPr="007706A1">
        <w:rPr>
          <w:rFonts w:ascii="Arial Narrow" w:hAnsi="Arial Narrow" w:cs="Calibri"/>
          <w:i/>
        </w:rPr>
        <w:t>na na základ</w:t>
      </w:r>
      <w:r w:rsidRPr="007706A1">
        <w:rPr>
          <w:rFonts w:ascii="Calibri" w:eastAsia="Calibri" w:hAnsi="Calibri" w:cs="Calibri"/>
          <w:i/>
        </w:rPr>
        <w:t>ě</w:t>
      </w:r>
      <w:r w:rsidRPr="007706A1">
        <w:rPr>
          <w:rFonts w:ascii="Arial Narrow" w:hAnsi="Arial Narrow" w:cs="Calibri"/>
          <w:i/>
        </w:rPr>
        <w:t xml:space="preserve"> znalosti v</w:t>
      </w:r>
      <w:r w:rsidRPr="007706A1">
        <w:rPr>
          <w:rFonts w:ascii="Calibri" w:eastAsia="Calibri" w:hAnsi="Calibri" w:cs="Calibri"/>
          <w:i/>
        </w:rPr>
        <w:t>ě</w:t>
      </w:r>
      <w:r w:rsidRPr="007706A1">
        <w:rPr>
          <w:rFonts w:ascii="Arial Narrow" w:hAnsi="Arial Narrow" w:cs="Calibri"/>
          <w:i/>
        </w:rPr>
        <w:t>ci a byla podlo</w:t>
      </w:r>
      <w:r w:rsidRPr="007706A1">
        <w:rPr>
          <w:rFonts w:ascii="Calibri" w:eastAsia="Calibri" w:hAnsi="Calibri" w:cs="Calibri"/>
          <w:i/>
        </w:rPr>
        <w:t>ž</w:t>
      </w:r>
      <w:r w:rsidRPr="007706A1">
        <w:rPr>
          <w:rFonts w:ascii="Arial Narrow" w:hAnsi="Arial Narrow" w:cs="Calibri"/>
          <w:i/>
        </w:rPr>
        <w:t>ená.“</w:t>
      </w:r>
      <w:r w:rsidRPr="007706A1">
        <w:rPr>
          <w:rStyle w:val="Znakapoznpodarou"/>
          <w:rFonts w:ascii="Arial Narrow" w:hAnsi="Arial Narrow" w:cs="Calibri"/>
          <w:i/>
        </w:rPr>
        <w:footnoteReference w:id="4"/>
      </w:r>
      <w:r w:rsidRPr="007706A1">
        <w:rPr>
          <w:rFonts w:ascii="Arial Narrow" w:hAnsi="Arial Narrow" w:cs="Calibri"/>
          <w:i/>
        </w:rPr>
        <w:t xml:space="preserve"> </w:t>
      </w:r>
      <w:r w:rsidRPr="007706A1">
        <w:rPr>
          <w:rFonts w:ascii="Arial Narrow" w:hAnsi="Arial Narrow" w:cs="Calibri"/>
        </w:rPr>
        <w:t>Proto apelujeme na Komisi i Radu, aby důkladně zvážila důsledky změny právního základu.</w:t>
      </w:r>
    </w:p>
    <w:p w:rsidR="007B18CC" w:rsidRPr="007706A1" w:rsidRDefault="007B18CC" w:rsidP="007B18CC">
      <w:pPr>
        <w:jc w:val="both"/>
        <w:rPr>
          <w:rFonts w:ascii="Arial Narrow" w:hAnsi="Arial Narrow" w:cs="Calibri"/>
        </w:rPr>
      </w:pPr>
    </w:p>
    <w:p w:rsidR="007B18CC" w:rsidRPr="007706A1" w:rsidRDefault="007B18CC" w:rsidP="007B18CC">
      <w:pPr>
        <w:jc w:val="both"/>
        <w:rPr>
          <w:rFonts w:ascii="Arial Narrow" w:hAnsi="Arial Narrow" w:cs="Calibri"/>
        </w:rPr>
      </w:pPr>
    </w:p>
    <w:p w:rsidR="007B18CC" w:rsidRPr="007706A1" w:rsidRDefault="007B18CC" w:rsidP="007B18CC">
      <w:pPr>
        <w:jc w:val="both"/>
        <w:rPr>
          <w:rFonts w:ascii="Arial Narrow" w:hAnsi="Arial Narrow" w:cs="Times New Roman"/>
          <w:b/>
        </w:rPr>
      </w:pPr>
      <w:r w:rsidRPr="007706A1">
        <w:rPr>
          <w:rFonts w:ascii="Arial Narrow" w:hAnsi="Arial Narrow" w:cs="Calibri"/>
        </w:rPr>
        <w:t xml:space="preserve"> </w:t>
      </w:r>
      <w:r w:rsidRPr="007706A1">
        <w:rPr>
          <w:rFonts w:ascii="Arial Narrow" w:hAnsi="Arial Narrow" w:cs="Times New Roman"/>
          <w:b/>
        </w:rPr>
        <w:t xml:space="preserve">6. </w:t>
      </w:r>
      <w:r>
        <w:rPr>
          <w:rFonts w:ascii="Arial Narrow" w:hAnsi="Arial Narrow" w:cs="Times New Roman"/>
          <w:b/>
        </w:rPr>
        <w:t>Uplatnění</w:t>
      </w:r>
      <w:r w:rsidRPr="007706A1">
        <w:rPr>
          <w:rFonts w:ascii="Arial Narrow" w:hAnsi="Arial Narrow" w:cs="Times New Roman"/>
          <w:b/>
        </w:rPr>
        <w:t xml:space="preserve"> článku 192 Smlouvy o fungování EU jako právního základu pozměňovacích návrhů směrnice PPWD se považuje za nesmírně problematické, neboť by se tím vytvořila právní nejistota ohledně zbytkových kompetencí členských států a jejich oznamovacích povinností.</w:t>
      </w:r>
    </w:p>
    <w:p w:rsidR="007B18CC" w:rsidRPr="007706A1" w:rsidRDefault="007B18CC" w:rsidP="007B18CC">
      <w:pPr>
        <w:jc w:val="both"/>
        <w:rPr>
          <w:rFonts w:ascii="Arial Narrow" w:hAnsi="Arial Narrow" w:cs="Times New Roman"/>
          <w:b/>
        </w:rPr>
      </w:pPr>
    </w:p>
    <w:p w:rsidR="007B18CC" w:rsidRPr="007706A1" w:rsidRDefault="007B18CC" w:rsidP="007B18CC">
      <w:pPr>
        <w:jc w:val="both"/>
        <w:rPr>
          <w:rFonts w:ascii="Arial Narrow" w:hAnsi="Arial Narrow" w:cs="Calibri"/>
        </w:rPr>
      </w:pPr>
      <w:r w:rsidRPr="007706A1">
        <w:rPr>
          <w:rFonts w:ascii="Arial Narrow" w:hAnsi="Arial Narrow" w:cs="Calibri"/>
        </w:rPr>
        <w:t>Z praktického hlediska Rada nezvážila, kvůli absenci hodnocení dopadů, podstatné obtíže vycházející z </w:t>
      </w:r>
      <w:r>
        <w:rPr>
          <w:rFonts w:ascii="Arial Narrow" w:hAnsi="Arial Narrow" w:cs="Calibri"/>
        </w:rPr>
        <w:t>uplatnění</w:t>
      </w:r>
      <w:r w:rsidRPr="007706A1">
        <w:rPr>
          <w:rFonts w:ascii="Arial Narrow" w:hAnsi="Arial Narrow" w:cs="Calibri"/>
        </w:rPr>
        <w:t xml:space="preserve"> článku 192 jako </w:t>
      </w:r>
      <w:r>
        <w:rPr>
          <w:rFonts w:ascii="Arial Narrow" w:hAnsi="Arial Narrow" w:cs="Calibri"/>
        </w:rPr>
        <w:t xml:space="preserve">nového </w:t>
      </w:r>
      <w:r w:rsidRPr="007706A1">
        <w:rPr>
          <w:rFonts w:ascii="Arial Narrow" w:hAnsi="Arial Narrow" w:cs="Calibri"/>
        </w:rPr>
        <w:t xml:space="preserve">právního základu </w:t>
      </w:r>
      <w:r>
        <w:rPr>
          <w:rFonts w:ascii="Arial Narrow" w:hAnsi="Arial Narrow" w:cs="Calibri"/>
        </w:rPr>
        <w:t xml:space="preserve">upravené </w:t>
      </w:r>
      <w:r w:rsidRPr="007706A1">
        <w:rPr>
          <w:rFonts w:ascii="Arial Narrow" w:hAnsi="Arial Narrow" w:cs="Calibri"/>
        </w:rPr>
        <w:t xml:space="preserve">směrnice PPWD. Pozměnění vybraných ustanovení na základě článku 192 by vytvořilo značnou právní nejistotu ohledně zbytkových kompetencí členských států zavést přísnější pravidla dle článku 193 </w:t>
      </w:r>
      <w:r>
        <w:rPr>
          <w:rFonts w:ascii="Arial Narrow" w:hAnsi="Arial Narrow" w:cs="Calibri"/>
        </w:rPr>
        <w:t xml:space="preserve">v porovnání s jejich </w:t>
      </w:r>
      <w:r w:rsidRPr="007706A1">
        <w:rPr>
          <w:rFonts w:ascii="Arial Narrow" w:hAnsi="Arial Narrow" w:cs="Calibri"/>
        </w:rPr>
        <w:t>předchozí oznamovací povinnost</w:t>
      </w:r>
      <w:r>
        <w:rPr>
          <w:rFonts w:ascii="Arial Narrow" w:hAnsi="Arial Narrow" w:cs="Calibri"/>
        </w:rPr>
        <w:t>í</w:t>
      </w:r>
      <w:r w:rsidRPr="007706A1">
        <w:rPr>
          <w:rFonts w:ascii="Arial Narrow" w:hAnsi="Arial Narrow" w:cs="Calibri"/>
        </w:rPr>
        <w:t>.</w:t>
      </w:r>
    </w:p>
    <w:p w:rsidR="007B18CC" w:rsidRPr="007706A1" w:rsidRDefault="007B18CC" w:rsidP="007B18CC">
      <w:pPr>
        <w:jc w:val="both"/>
        <w:rPr>
          <w:rFonts w:ascii="Arial Narrow" w:hAnsi="Arial Narrow" w:cs="Calibri"/>
        </w:rPr>
      </w:pPr>
    </w:p>
    <w:p w:rsidR="007B18CC" w:rsidRPr="007706A1" w:rsidRDefault="007B18CC" w:rsidP="007B18CC">
      <w:pPr>
        <w:jc w:val="both"/>
        <w:rPr>
          <w:rFonts w:ascii="Arial Narrow" w:hAnsi="Arial Narrow" w:cs="Calibri"/>
          <w:b/>
        </w:rPr>
      </w:pPr>
      <w:r w:rsidRPr="007706A1">
        <w:rPr>
          <w:rFonts w:ascii="Arial Narrow" w:hAnsi="Arial Narrow" w:cs="Calibri"/>
          <w:b/>
        </w:rPr>
        <w:t xml:space="preserve">7. </w:t>
      </w:r>
      <w:r w:rsidRPr="007706A1">
        <w:rPr>
          <w:rFonts w:ascii="Arial Narrow" w:hAnsi="Arial Narrow" w:cs="Times New Roman"/>
          <w:b/>
        </w:rPr>
        <w:t xml:space="preserve">Pozměňovací návrhy k legislativním aktům musí brát v úvahu souvislosti „pozměněného aktu“, aby nedocházelo k neustálému oslabování jeho základního účelu a narušování vlastní soudržnosti a </w:t>
      </w:r>
      <w:r>
        <w:rPr>
          <w:rFonts w:ascii="Arial Narrow" w:hAnsi="Arial Narrow" w:cs="Times New Roman"/>
          <w:b/>
        </w:rPr>
        <w:t>akceschopnosti</w:t>
      </w:r>
      <w:r w:rsidRPr="007706A1">
        <w:rPr>
          <w:rFonts w:ascii="Arial Narrow" w:hAnsi="Arial Narrow" w:cs="Times New Roman"/>
          <w:b/>
        </w:rPr>
        <w:t>.</w:t>
      </w:r>
    </w:p>
    <w:p w:rsidR="007B18CC" w:rsidRPr="007706A1" w:rsidRDefault="007B18CC" w:rsidP="007B18CC">
      <w:pPr>
        <w:jc w:val="both"/>
        <w:rPr>
          <w:rFonts w:ascii="Arial Narrow" w:hAnsi="Arial Narrow" w:cs="Calibri"/>
        </w:rPr>
      </w:pPr>
    </w:p>
    <w:p w:rsidR="007B18CC" w:rsidRPr="001921C6" w:rsidRDefault="007B18CC" w:rsidP="007B18CC">
      <w:pPr>
        <w:jc w:val="both"/>
        <w:rPr>
          <w:rFonts w:ascii="Arial Narrow" w:hAnsi="Arial Narrow" w:cs="Calibri"/>
        </w:rPr>
      </w:pPr>
      <w:r w:rsidRPr="001921C6">
        <w:rPr>
          <w:rFonts w:ascii="Arial Narrow" w:hAnsi="Arial Narrow" w:cs="Calibri"/>
        </w:rPr>
        <w:t xml:space="preserve">A konečně </w:t>
      </w:r>
      <w:r w:rsidRPr="001921C6">
        <w:rPr>
          <w:rFonts w:ascii="Arial Narrow" w:hAnsi="Arial Narrow" w:cs="Calibri"/>
          <w:u w:val="single"/>
        </w:rPr>
        <w:t>pozměňovací návrhy</w:t>
      </w:r>
      <w:r w:rsidRPr="001921C6">
        <w:rPr>
          <w:rFonts w:ascii="Arial Narrow" w:hAnsi="Arial Narrow" w:cs="Calibri"/>
        </w:rPr>
        <w:t xml:space="preserve"> k legislativním aktům nemohou – ze zásady – vést k neustálému oslabování a úplnému přehlížení základního účelu „</w:t>
      </w:r>
      <w:r w:rsidRPr="001921C6">
        <w:rPr>
          <w:rFonts w:ascii="Arial Narrow" w:hAnsi="Arial Narrow" w:cs="Calibri"/>
          <w:u w:val="single"/>
        </w:rPr>
        <w:t>pozměněného</w:t>
      </w:r>
      <w:r w:rsidRPr="001921C6">
        <w:rPr>
          <w:rFonts w:ascii="Arial Narrow" w:hAnsi="Arial Narrow" w:cs="Calibri"/>
        </w:rPr>
        <w:t xml:space="preserve">“ aktu. Proto i při rozhodování o právním základu jakýchkoli pozměňovacích návrhů by měl být zohledněn obsah a cíl směrnice PPWD. Jelikož účelem obalové směrnice je volný obchod baleného zboží v rámci vnitřního trhu, musí se to odrazit v právním základu každého pozměňovacího návrhu obalové směrnice. Proto právním základem </w:t>
      </w:r>
      <w:r w:rsidRPr="001921C6">
        <w:rPr>
          <w:rFonts w:ascii="Arial Narrow" w:hAnsi="Arial Narrow" w:cs="Calibri"/>
        </w:rPr>
        <w:lastRenderedPageBreak/>
        <w:t>předloženého – a jakéhokoli dalšího – pozměňovacího návrhu by měl zůstat pouze článek 114 Smlouvy o fungování EU, jak to původně požadovala Komise pro harmonizační směrnici.</w:t>
      </w:r>
    </w:p>
    <w:p w:rsidR="007B18CC" w:rsidRPr="001921C6" w:rsidRDefault="007B18CC" w:rsidP="007B18CC">
      <w:pPr>
        <w:jc w:val="both"/>
        <w:rPr>
          <w:rFonts w:ascii="Arial Narrow" w:hAnsi="Arial Narrow" w:cs="Calibri"/>
        </w:rPr>
      </w:pPr>
    </w:p>
    <w:p w:rsidR="007B18CC" w:rsidRPr="001921C6" w:rsidRDefault="007B18CC" w:rsidP="007B18CC">
      <w:pPr>
        <w:jc w:val="both"/>
        <w:rPr>
          <w:rFonts w:ascii="Arial Narrow" w:hAnsi="Arial Narrow" w:cs="Calibri"/>
        </w:rPr>
      </w:pPr>
      <w:r w:rsidRPr="001921C6">
        <w:rPr>
          <w:rFonts w:ascii="Arial Narrow" w:hAnsi="Arial Narrow" w:cs="Calibri"/>
        </w:rPr>
        <w:t xml:space="preserve">Velmi konkrétním příkladem je článek 1 (2a) pozměňovacího návrhu, který nahrazuje článek 5 směrnice, nyní zavazuje členské státy k tomu, aby podporovaly opětovné používání, a tak upřednostňovaly místní výrobu na základě uplatňování ekonomických pobídek, kvantitativních cílů a/nebo zálohových systémů a systémů zpětného odběru. Skutečnost, že tento pozměňovací návrh by mohl vycházet z právního základu ochrany životního prostředí, je velmi znepokojivý. Sama Komise jasně poukázala na to, že: </w:t>
      </w:r>
      <w:r w:rsidRPr="001921C6">
        <w:rPr>
          <w:rFonts w:ascii="Arial Narrow" w:hAnsi="Arial Narrow" w:cs="Calibri"/>
          <w:i/>
        </w:rPr>
        <w:t>„z obchodního hlediska je t</w:t>
      </w:r>
      <w:r w:rsidRPr="001921C6">
        <w:rPr>
          <w:rFonts w:ascii="Calibri" w:eastAsia="Calibri" w:hAnsi="Calibri" w:cs="Calibri"/>
          <w:i/>
        </w:rPr>
        <w:t>ř</w:t>
      </w:r>
      <w:r w:rsidRPr="001921C6">
        <w:rPr>
          <w:rFonts w:ascii="Arial Narrow" w:hAnsi="Arial Narrow" w:cs="Calibri"/>
          <w:i/>
        </w:rPr>
        <w:t>eba si uv</w:t>
      </w:r>
      <w:r w:rsidRPr="001921C6">
        <w:rPr>
          <w:rFonts w:ascii="Calibri" w:eastAsia="Calibri" w:hAnsi="Calibri" w:cs="Calibri"/>
          <w:i/>
        </w:rPr>
        <w:t>ě</w:t>
      </w:r>
      <w:r w:rsidRPr="001921C6">
        <w:rPr>
          <w:rFonts w:ascii="Arial Narrow" w:hAnsi="Arial Narrow" w:cs="Calibri"/>
          <w:i/>
        </w:rPr>
        <w:t xml:space="preserve">domit to, </w:t>
      </w:r>
      <w:r w:rsidRPr="001921C6">
        <w:rPr>
          <w:rFonts w:ascii="Calibri" w:eastAsia="Calibri" w:hAnsi="Calibri" w:cs="Calibri"/>
          <w:i/>
        </w:rPr>
        <w:t>ž</w:t>
      </w:r>
      <w:r w:rsidRPr="001921C6">
        <w:rPr>
          <w:rFonts w:ascii="Arial Narrow" w:hAnsi="Arial Narrow" w:cs="Calibri"/>
          <w:i/>
        </w:rPr>
        <w:t>e systémy opakovaného pln</w:t>
      </w:r>
      <w:r w:rsidRPr="001921C6">
        <w:rPr>
          <w:rFonts w:ascii="Calibri" w:eastAsia="Calibri" w:hAnsi="Calibri" w:cs="Calibri"/>
          <w:i/>
        </w:rPr>
        <w:t>ě</w:t>
      </w:r>
      <w:r w:rsidRPr="001921C6">
        <w:rPr>
          <w:rFonts w:ascii="Arial Narrow" w:hAnsi="Arial Narrow" w:cs="Calibri"/>
          <w:i/>
        </w:rPr>
        <w:t>ní jsou v</w:t>
      </w:r>
      <w:r w:rsidRPr="001921C6">
        <w:rPr>
          <w:rFonts w:ascii="Calibri" w:eastAsia="Calibri" w:hAnsi="Calibri" w:cs="Calibri"/>
          <w:i/>
        </w:rPr>
        <w:t>ě</w:t>
      </w:r>
      <w:r w:rsidRPr="001921C6">
        <w:rPr>
          <w:rFonts w:ascii="Arial Narrow" w:hAnsi="Arial Narrow" w:cs="Calibri"/>
          <w:i/>
        </w:rPr>
        <w:t>tšinou vyu</w:t>
      </w:r>
      <w:r w:rsidRPr="001921C6">
        <w:rPr>
          <w:rFonts w:ascii="Calibri" w:eastAsia="Calibri" w:hAnsi="Calibri" w:cs="Calibri"/>
          <w:i/>
        </w:rPr>
        <w:t>ž</w:t>
      </w:r>
      <w:r w:rsidRPr="001921C6">
        <w:rPr>
          <w:rFonts w:ascii="Arial Narrow" w:hAnsi="Arial Narrow" w:cs="Calibri"/>
          <w:i/>
        </w:rPr>
        <w:t>ívány domácími plnicími za</w:t>
      </w:r>
      <w:r w:rsidRPr="001921C6">
        <w:rPr>
          <w:rFonts w:ascii="Calibri" w:eastAsia="Calibri" w:hAnsi="Calibri" w:cs="Calibri"/>
          <w:i/>
        </w:rPr>
        <w:t>ř</w:t>
      </w:r>
      <w:r w:rsidRPr="001921C6">
        <w:rPr>
          <w:rFonts w:ascii="Arial Narrow" w:hAnsi="Arial Narrow" w:cs="Calibri"/>
          <w:i/>
        </w:rPr>
        <w:t>ízeními, nebo</w:t>
      </w:r>
      <w:r w:rsidRPr="001921C6">
        <w:rPr>
          <w:rFonts w:ascii="Calibri" w:eastAsia="Calibri" w:hAnsi="Calibri" w:cs="Calibri"/>
          <w:i/>
        </w:rPr>
        <w:t>ť</w:t>
      </w:r>
      <w:r w:rsidRPr="001921C6">
        <w:rPr>
          <w:rFonts w:ascii="Arial Narrow" w:hAnsi="Arial Narrow" w:cs="Calibri"/>
          <w:i/>
        </w:rPr>
        <w:t xml:space="preserve"> to vy</w:t>
      </w:r>
      <w:r w:rsidRPr="001921C6">
        <w:rPr>
          <w:rFonts w:ascii="Calibri" w:eastAsia="Calibri" w:hAnsi="Calibri" w:cs="Calibri"/>
          <w:i/>
        </w:rPr>
        <w:t>ž</w:t>
      </w:r>
      <w:r w:rsidRPr="001921C6">
        <w:rPr>
          <w:rFonts w:ascii="Arial Narrow" w:hAnsi="Arial Narrow" w:cs="Calibri"/>
          <w:i/>
        </w:rPr>
        <w:t>aduje ur</w:t>
      </w:r>
      <w:r w:rsidRPr="001921C6">
        <w:rPr>
          <w:rFonts w:ascii="Calibri" w:eastAsia="Calibri" w:hAnsi="Calibri" w:cs="Calibri"/>
          <w:i/>
        </w:rPr>
        <w:t>č</w:t>
      </w:r>
      <w:r w:rsidRPr="001921C6">
        <w:rPr>
          <w:rFonts w:ascii="Arial Narrow" w:hAnsi="Arial Narrow" w:cs="Calibri"/>
          <w:i/>
        </w:rPr>
        <w:t>itý obrat vratných obal</w:t>
      </w:r>
      <w:r w:rsidRPr="001921C6">
        <w:rPr>
          <w:rFonts w:ascii="Calibri" w:eastAsia="Calibri" w:hAnsi="Calibri" w:cs="Calibri"/>
          <w:i/>
        </w:rPr>
        <w:t>ů</w:t>
      </w:r>
      <w:r w:rsidRPr="001921C6">
        <w:rPr>
          <w:rFonts w:ascii="Arial Narrow" w:hAnsi="Arial Narrow" w:cs="Calibri"/>
          <w:i/>
        </w:rPr>
        <w:t xml:space="preserve"> a náklady zpravidla rostou se vzdáleností mezi plnicím za</w:t>
      </w:r>
      <w:r w:rsidRPr="001921C6">
        <w:rPr>
          <w:rFonts w:ascii="Calibri" w:eastAsia="Calibri" w:hAnsi="Calibri" w:cs="Calibri"/>
          <w:i/>
        </w:rPr>
        <w:t>ř</w:t>
      </w:r>
      <w:r w:rsidRPr="001921C6">
        <w:rPr>
          <w:rFonts w:ascii="Arial Narrow" w:hAnsi="Arial Narrow" w:cs="Calibri"/>
          <w:i/>
        </w:rPr>
        <w:t>ízením a místem prodeje“.</w:t>
      </w:r>
      <w:r w:rsidRPr="001921C6">
        <w:rPr>
          <w:rStyle w:val="Znakapoznpodarou"/>
          <w:rFonts w:ascii="Arial Narrow" w:hAnsi="Arial Narrow" w:cs="Calibri"/>
          <w:i/>
        </w:rPr>
        <w:footnoteReference w:id="5"/>
      </w:r>
      <w:r w:rsidRPr="001921C6">
        <w:rPr>
          <w:rFonts w:ascii="Arial Narrow" w:hAnsi="Arial Narrow" w:cs="Calibri"/>
          <w:i/>
        </w:rPr>
        <w:t xml:space="preserve"> </w:t>
      </w:r>
      <w:r w:rsidRPr="001921C6">
        <w:rPr>
          <w:rFonts w:ascii="Arial Narrow" w:hAnsi="Arial Narrow" w:cs="Calibri"/>
        </w:rPr>
        <w:t>Soudní dvůr navíc potvrdil, že kvantitativní omezení u určitých druhů obalů (které by snadno mohly být důsledkem avizovaných požadavků na opakovaně použitelné obaly) by představovaly překážky obchodu</w:t>
      </w:r>
      <w:r w:rsidRPr="001921C6">
        <w:rPr>
          <w:rStyle w:val="Znakapoznpodarou"/>
          <w:rFonts w:ascii="Arial Narrow" w:hAnsi="Arial Narrow" w:cs="Calibri"/>
        </w:rPr>
        <w:footnoteReference w:id="6"/>
      </w:r>
      <w:r w:rsidRPr="001921C6">
        <w:rPr>
          <w:rFonts w:ascii="Arial Narrow" w:hAnsi="Arial Narrow" w:cs="Calibri"/>
        </w:rPr>
        <w:t>.</w:t>
      </w:r>
    </w:p>
    <w:p w:rsidR="007C46BF" w:rsidRDefault="007C46BF"/>
    <w:p w:rsidR="007B18CC" w:rsidRDefault="007B18CC">
      <w:bookmarkStart w:id="0" w:name="_GoBack"/>
      <w:bookmarkEnd w:id="0"/>
    </w:p>
    <w:p w:rsidR="007B18CC" w:rsidRDefault="007B18CC"/>
    <w:p w:rsidR="007B18CC" w:rsidRDefault="007B18CC" w:rsidP="007B18CC">
      <w:pPr>
        <w:pBdr>
          <w:bottom w:val="single" w:sz="4" w:space="1" w:color="auto"/>
        </w:pBdr>
        <w:jc w:val="center"/>
        <w:rPr>
          <w:rFonts w:ascii="Arial" w:hAnsi="Arial" w:cs="Arial"/>
          <w:b/>
          <w:bCs/>
          <w:iCs/>
          <w:lang w:eastAsia="en-GB"/>
        </w:rPr>
      </w:pPr>
    </w:p>
    <w:p w:rsidR="007B18CC" w:rsidRPr="007B18CC" w:rsidRDefault="007B18CC" w:rsidP="007B18CC">
      <w:pPr>
        <w:pBdr>
          <w:bottom w:val="single" w:sz="4" w:space="1" w:color="auto"/>
        </w:pBdr>
        <w:jc w:val="center"/>
        <w:rPr>
          <w:rFonts w:ascii="Arial" w:hAnsi="Arial" w:cs="Arial"/>
          <w:b/>
          <w:bCs/>
          <w:iCs/>
          <w:sz w:val="28"/>
          <w:szCs w:val="28"/>
          <w:lang w:eastAsia="en-GB"/>
        </w:rPr>
      </w:pPr>
      <w:r w:rsidRPr="007B18CC">
        <w:rPr>
          <w:rFonts w:ascii="Arial" w:hAnsi="Arial" w:cs="Arial"/>
          <w:b/>
          <w:bCs/>
          <w:iCs/>
          <w:sz w:val="28"/>
          <w:szCs w:val="28"/>
          <w:lang w:eastAsia="en-GB"/>
        </w:rPr>
        <w:t xml:space="preserve">Právní </w:t>
      </w:r>
      <w:proofErr w:type="gramStart"/>
      <w:r w:rsidRPr="007B18CC">
        <w:rPr>
          <w:rFonts w:ascii="Arial" w:hAnsi="Arial" w:cs="Arial"/>
          <w:b/>
          <w:bCs/>
          <w:iCs/>
          <w:sz w:val="28"/>
          <w:szCs w:val="28"/>
          <w:lang w:eastAsia="en-GB"/>
        </w:rPr>
        <w:t>argumentace k  změně</w:t>
      </w:r>
      <w:proofErr w:type="gramEnd"/>
      <w:r w:rsidRPr="007B18CC">
        <w:rPr>
          <w:rFonts w:ascii="Arial" w:hAnsi="Arial" w:cs="Arial"/>
          <w:b/>
          <w:bCs/>
          <w:iCs/>
          <w:sz w:val="28"/>
          <w:szCs w:val="28"/>
          <w:lang w:eastAsia="en-GB"/>
        </w:rPr>
        <w:t xml:space="preserve"> právního základu směrnice PPWD </w:t>
      </w:r>
    </w:p>
    <w:p w:rsidR="007B18CC" w:rsidRPr="0039298F" w:rsidRDefault="007B18CC" w:rsidP="007B18CC">
      <w:pPr>
        <w:pBdr>
          <w:bottom w:val="single" w:sz="4" w:space="1" w:color="auto"/>
        </w:pBdr>
        <w:jc w:val="center"/>
        <w:rPr>
          <w:rFonts w:ascii="Arial" w:hAnsi="Arial" w:cs="Arial"/>
          <w:b/>
          <w:bCs/>
          <w:iCs/>
          <w:lang w:eastAsia="en-GB"/>
        </w:rPr>
      </w:pPr>
    </w:p>
    <w:p w:rsidR="007B18CC" w:rsidRPr="0039298F" w:rsidRDefault="007B18CC" w:rsidP="007B18CC">
      <w:pPr>
        <w:spacing w:line="276" w:lineRule="auto"/>
        <w:rPr>
          <w:rFonts w:ascii="Arial" w:eastAsia="Times New Roman" w:hAnsi="Arial" w:cs="Arial"/>
          <w:bCs/>
          <w:iCs/>
          <w:lang w:eastAsia="en-GB"/>
        </w:rPr>
      </w:pPr>
    </w:p>
    <w:p w:rsidR="007B18CC" w:rsidRPr="0039298F" w:rsidRDefault="007B18CC" w:rsidP="007B18CC">
      <w:pPr>
        <w:spacing w:line="276" w:lineRule="auto"/>
        <w:jc w:val="both"/>
        <w:rPr>
          <w:rFonts w:ascii="Arial" w:eastAsia="Times New Roman" w:hAnsi="Arial" w:cs="Arial"/>
          <w:bCs/>
          <w:iCs/>
          <w:lang w:eastAsia="en-GB"/>
        </w:rPr>
      </w:pPr>
      <w:r w:rsidRPr="0039298F">
        <w:rPr>
          <w:rFonts w:ascii="Arial" w:eastAsia="Times New Roman" w:hAnsi="Arial" w:cs="Arial"/>
          <w:bCs/>
          <w:iCs/>
          <w:lang w:eastAsia="en-GB"/>
        </w:rPr>
        <w:t xml:space="preserve">Následující text je aktuálním seznamem protiargumentů, které se týkají principů změny právního základu směrnice a reakcí na navrhované změny. </w:t>
      </w:r>
    </w:p>
    <w:p w:rsidR="007B18CC" w:rsidRPr="0039298F" w:rsidRDefault="007B18CC" w:rsidP="007B18CC">
      <w:pPr>
        <w:spacing w:line="276" w:lineRule="auto"/>
        <w:jc w:val="both"/>
        <w:rPr>
          <w:rFonts w:ascii="Arial" w:eastAsia="Times New Roman" w:hAnsi="Arial" w:cs="Arial"/>
          <w:b/>
          <w:bCs/>
          <w:i/>
          <w:iCs/>
          <w:lang w:eastAsia="en-GB"/>
        </w:rPr>
      </w:pPr>
    </w:p>
    <w:p w:rsidR="007B18CC" w:rsidRPr="0039298F" w:rsidRDefault="007B18CC" w:rsidP="007B18CC">
      <w:pPr>
        <w:spacing w:line="276" w:lineRule="auto"/>
        <w:jc w:val="both"/>
        <w:rPr>
          <w:rFonts w:ascii="Arial" w:eastAsia="Times New Roman" w:hAnsi="Arial" w:cs="Arial"/>
          <w:b/>
          <w:bCs/>
          <w:i/>
          <w:iCs/>
          <w:lang w:eastAsia="en-GB"/>
        </w:rPr>
      </w:pPr>
      <w:r w:rsidRPr="0039298F">
        <w:rPr>
          <w:rFonts w:ascii="Arial" w:eastAsia="Times New Roman" w:hAnsi="Arial" w:cs="Arial"/>
          <w:b/>
          <w:bCs/>
          <w:i/>
          <w:iCs/>
          <w:lang w:eastAsia="en-GB"/>
        </w:rPr>
        <w:t xml:space="preserve"> „Pokud m</w:t>
      </w:r>
      <w:r w:rsidRPr="0039298F">
        <w:rPr>
          <w:rFonts w:ascii="Arial" w:eastAsia="Calibri" w:hAnsi="Arial" w:cs="Arial"/>
          <w:b/>
          <w:bCs/>
          <w:i/>
          <w:iCs/>
          <w:lang w:eastAsia="en-GB"/>
        </w:rPr>
        <w:t>ůž</w:t>
      </w:r>
      <w:r w:rsidRPr="0039298F">
        <w:rPr>
          <w:rFonts w:ascii="Arial" w:eastAsia="Times New Roman" w:hAnsi="Arial" w:cs="Arial"/>
          <w:b/>
          <w:bCs/>
          <w:i/>
          <w:iCs/>
          <w:lang w:eastAsia="en-GB"/>
        </w:rPr>
        <w:t>eme zakázat plastové tašky, plastové nádobí a vatové ty</w:t>
      </w:r>
      <w:r w:rsidRPr="0039298F">
        <w:rPr>
          <w:rFonts w:ascii="Arial" w:eastAsia="Calibri" w:hAnsi="Arial" w:cs="Arial"/>
          <w:b/>
          <w:bCs/>
          <w:i/>
          <w:iCs/>
          <w:lang w:eastAsia="en-GB"/>
        </w:rPr>
        <w:t>č</w:t>
      </w:r>
      <w:r w:rsidRPr="0039298F">
        <w:rPr>
          <w:rFonts w:ascii="Arial" w:eastAsia="Times New Roman" w:hAnsi="Arial" w:cs="Arial"/>
          <w:b/>
          <w:bCs/>
          <w:i/>
          <w:iCs/>
          <w:lang w:eastAsia="en-GB"/>
        </w:rPr>
        <w:t>inky, pro</w:t>
      </w:r>
      <w:r w:rsidRPr="0039298F">
        <w:rPr>
          <w:rFonts w:ascii="Arial" w:eastAsia="Calibri" w:hAnsi="Arial" w:cs="Arial"/>
          <w:b/>
          <w:bCs/>
          <w:i/>
          <w:iCs/>
          <w:lang w:eastAsia="en-GB"/>
        </w:rPr>
        <w:t>č</w:t>
      </w:r>
      <w:r w:rsidRPr="0039298F">
        <w:rPr>
          <w:rFonts w:ascii="Arial" w:eastAsia="Times New Roman" w:hAnsi="Arial" w:cs="Arial"/>
          <w:b/>
          <w:bCs/>
          <w:i/>
          <w:iCs/>
          <w:lang w:eastAsia="en-GB"/>
        </w:rPr>
        <w:t xml:space="preserve"> nem</w:t>
      </w:r>
      <w:r w:rsidRPr="0039298F">
        <w:rPr>
          <w:rFonts w:ascii="Arial" w:eastAsia="Calibri" w:hAnsi="Arial" w:cs="Arial"/>
          <w:b/>
          <w:bCs/>
          <w:i/>
          <w:iCs/>
          <w:lang w:eastAsia="en-GB"/>
        </w:rPr>
        <w:t>ůž</w:t>
      </w:r>
      <w:r w:rsidRPr="0039298F">
        <w:rPr>
          <w:rFonts w:ascii="Arial" w:eastAsia="Times New Roman" w:hAnsi="Arial" w:cs="Arial"/>
          <w:b/>
          <w:bCs/>
          <w:i/>
          <w:iCs/>
          <w:lang w:eastAsia="en-GB"/>
        </w:rPr>
        <w:t>eme zakázat ur</w:t>
      </w:r>
      <w:r w:rsidRPr="0039298F">
        <w:rPr>
          <w:rFonts w:ascii="Arial" w:eastAsia="Calibri" w:hAnsi="Arial" w:cs="Arial"/>
          <w:b/>
          <w:bCs/>
          <w:i/>
          <w:iCs/>
          <w:lang w:eastAsia="en-GB"/>
        </w:rPr>
        <w:t>č</w:t>
      </w:r>
      <w:r w:rsidRPr="0039298F">
        <w:rPr>
          <w:rFonts w:ascii="Arial" w:eastAsia="Times New Roman" w:hAnsi="Arial" w:cs="Arial"/>
          <w:b/>
          <w:bCs/>
          <w:i/>
          <w:iCs/>
          <w:lang w:eastAsia="en-GB"/>
        </w:rPr>
        <w:t>ité typy obal</w:t>
      </w:r>
      <w:r w:rsidRPr="0039298F">
        <w:rPr>
          <w:rFonts w:ascii="Arial" w:eastAsia="Calibri" w:hAnsi="Arial" w:cs="Arial"/>
          <w:b/>
          <w:bCs/>
          <w:i/>
          <w:iCs/>
          <w:lang w:eastAsia="en-GB"/>
        </w:rPr>
        <w:t>ů</w:t>
      </w:r>
      <w:r w:rsidRPr="0039298F">
        <w:rPr>
          <w:rFonts w:ascii="Arial" w:eastAsia="Times New Roman" w:hAnsi="Arial" w:cs="Arial"/>
          <w:b/>
          <w:bCs/>
          <w:i/>
          <w:iCs/>
          <w:lang w:eastAsia="en-GB"/>
        </w:rPr>
        <w:t>, které p</w:t>
      </w:r>
      <w:r w:rsidRPr="0039298F">
        <w:rPr>
          <w:rFonts w:ascii="Arial" w:eastAsia="Calibri" w:hAnsi="Arial" w:cs="Arial"/>
          <w:b/>
          <w:bCs/>
          <w:i/>
          <w:iCs/>
          <w:lang w:eastAsia="en-GB"/>
        </w:rPr>
        <w:t>ř</w:t>
      </w:r>
      <w:r w:rsidRPr="0039298F">
        <w:rPr>
          <w:rFonts w:ascii="Arial" w:eastAsia="Times New Roman" w:hAnsi="Arial" w:cs="Arial"/>
          <w:b/>
          <w:bCs/>
          <w:i/>
          <w:iCs/>
          <w:lang w:eastAsia="en-GB"/>
        </w:rPr>
        <w:t>edstavují jeden z hlavních zdroj</w:t>
      </w:r>
      <w:r w:rsidRPr="0039298F">
        <w:rPr>
          <w:rFonts w:ascii="Arial" w:eastAsia="Calibri" w:hAnsi="Arial" w:cs="Arial"/>
          <w:b/>
          <w:bCs/>
          <w:i/>
          <w:iCs/>
          <w:lang w:eastAsia="en-GB"/>
        </w:rPr>
        <w:t>ů</w:t>
      </w:r>
      <w:r w:rsidRPr="0039298F">
        <w:rPr>
          <w:rFonts w:ascii="Arial" w:eastAsia="Times New Roman" w:hAnsi="Arial" w:cs="Arial"/>
          <w:b/>
          <w:bCs/>
          <w:i/>
          <w:iCs/>
          <w:lang w:eastAsia="en-GB"/>
        </w:rPr>
        <w:t xml:space="preserve"> odpadk</w:t>
      </w:r>
      <w:r w:rsidRPr="0039298F">
        <w:rPr>
          <w:rFonts w:ascii="Arial" w:eastAsia="Calibri" w:hAnsi="Arial" w:cs="Arial"/>
          <w:b/>
          <w:bCs/>
          <w:i/>
          <w:iCs/>
          <w:lang w:eastAsia="en-GB"/>
        </w:rPr>
        <w:t>ů</w:t>
      </w:r>
      <w:r w:rsidRPr="0039298F">
        <w:rPr>
          <w:rFonts w:ascii="Arial" w:eastAsia="Times New Roman" w:hAnsi="Arial" w:cs="Arial"/>
          <w:b/>
          <w:bCs/>
          <w:i/>
          <w:iCs/>
          <w:lang w:eastAsia="en-GB"/>
        </w:rPr>
        <w:t>/odpadk</w:t>
      </w:r>
      <w:r w:rsidRPr="0039298F">
        <w:rPr>
          <w:rFonts w:ascii="Arial" w:eastAsia="Calibri" w:hAnsi="Arial" w:cs="Arial"/>
          <w:b/>
          <w:bCs/>
          <w:i/>
          <w:iCs/>
          <w:lang w:eastAsia="en-GB"/>
        </w:rPr>
        <w:t>ů</w:t>
      </w:r>
      <w:r w:rsidRPr="0039298F">
        <w:rPr>
          <w:rFonts w:ascii="Arial" w:eastAsia="Times New Roman" w:hAnsi="Arial" w:cs="Arial"/>
          <w:b/>
          <w:bCs/>
          <w:i/>
          <w:iCs/>
          <w:lang w:eastAsia="en-GB"/>
        </w:rPr>
        <w:t xml:space="preserve"> v mo</w:t>
      </w:r>
      <w:r w:rsidRPr="0039298F">
        <w:rPr>
          <w:rFonts w:ascii="Arial" w:eastAsia="Calibri" w:hAnsi="Arial" w:cs="Arial"/>
          <w:b/>
          <w:bCs/>
          <w:i/>
          <w:iCs/>
          <w:lang w:eastAsia="en-GB"/>
        </w:rPr>
        <w:t>ř</w:t>
      </w:r>
      <w:r w:rsidRPr="0039298F">
        <w:rPr>
          <w:rFonts w:ascii="Arial" w:eastAsia="Times New Roman" w:hAnsi="Arial" w:cs="Arial"/>
          <w:b/>
          <w:bCs/>
          <w:i/>
          <w:iCs/>
          <w:lang w:eastAsia="en-GB"/>
        </w:rPr>
        <w:t>i?”  </w:t>
      </w:r>
      <w:r w:rsidRPr="0039298F">
        <w:rPr>
          <w:rFonts w:ascii="Arial" w:eastAsia="Times New Roman" w:hAnsi="Arial" w:cs="Arial"/>
          <w:lang w:eastAsia="en-GB"/>
        </w:rPr>
        <w:t xml:space="preserve"> </w:t>
      </w:r>
    </w:p>
    <w:p w:rsidR="007B18CC" w:rsidRPr="0039298F" w:rsidRDefault="007B18CC" w:rsidP="007B18CC">
      <w:pPr>
        <w:numPr>
          <w:ilvl w:val="0"/>
          <w:numId w:val="1"/>
        </w:numPr>
        <w:spacing w:line="276" w:lineRule="auto"/>
        <w:jc w:val="both"/>
        <w:rPr>
          <w:rFonts w:ascii="Arial" w:eastAsia="Times New Roman" w:hAnsi="Arial" w:cs="Arial"/>
          <w:lang w:eastAsia="en-GB"/>
        </w:rPr>
      </w:pPr>
      <w:r w:rsidRPr="0039298F">
        <w:rPr>
          <w:rFonts w:ascii="Arial" w:eastAsia="Times New Roman" w:hAnsi="Arial" w:cs="Arial"/>
          <w:lang w:eastAsia="en-GB"/>
        </w:rPr>
        <w:t xml:space="preserve">Uveďte funkce obalů a holistický přístup, který je nutný pro to, abychom uvažovali o obalu společně s výrobkem, který obsahuje. Uvedené příklady buď nepředstavují obal (nádobí, vatové tyčinky), nebo nemají žádnou skutečnou (či funkční) spojitost s obsahem uvnitř (např. plastová taška). </w:t>
      </w:r>
    </w:p>
    <w:p w:rsidR="007B18CC" w:rsidRPr="0039298F" w:rsidRDefault="007B18CC" w:rsidP="007B18CC">
      <w:pPr>
        <w:numPr>
          <w:ilvl w:val="0"/>
          <w:numId w:val="1"/>
        </w:numPr>
        <w:spacing w:line="276" w:lineRule="auto"/>
        <w:jc w:val="both"/>
        <w:rPr>
          <w:rFonts w:ascii="Arial" w:eastAsia="Times New Roman" w:hAnsi="Arial" w:cs="Arial"/>
          <w:lang w:eastAsia="en-GB"/>
        </w:rPr>
      </w:pPr>
      <w:r w:rsidRPr="0039298F">
        <w:rPr>
          <w:rFonts w:ascii="Arial" w:eastAsia="Times New Roman" w:hAnsi="Arial" w:cs="Arial"/>
          <w:lang w:eastAsia="en-GB"/>
        </w:rPr>
        <w:t>Různé výrobky musí být zabaleny v různých typech obalů (spojitost s funkcemi). Například u místních potravinových výrobků – vína, sýrů či masa - bude nutné splnit funkci zábrany, a tudíž zajistit specifický typ obalu. Hygienické požadavky a požadavky na bezpečnost spotřebitelů vyžadují odpovídající obalové systémy.</w:t>
      </w:r>
    </w:p>
    <w:p w:rsidR="007B18CC" w:rsidRPr="0039298F" w:rsidRDefault="007B18CC" w:rsidP="007B18CC">
      <w:pPr>
        <w:spacing w:line="276" w:lineRule="auto"/>
        <w:ind w:left="1440"/>
        <w:jc w:val="both"/>
        <w:rPr>
          <w:rFonts w:ascii="Arial" w:hAnsi="Arial" w:cs="Arial"/>
          <w:lang w:eastAsia="en-GB"/>
        </w:rPr>
      </w:pPr>
    </w:p>
    <w:p w:rsidR="007B18CC" w:rsidRPr="0039298F" w:rsidRDefault="007B18CC" w:rsidP="007B18CC">
      <w:pPr>
        <w:spacing w:line="276" w:lineRule="auto"/>
        <w:jc w:val="both"/>
        <w:rPr>
          <w:rFonts w:ascii="Arial" w:eastAsia="Times New Roman" w:hAnsi="Arial" w:cs="Arial"/>
          <w:b/>
          <w:bCs/>
          <w:i/>
          <w:iCs/>
          <w:lang w:eastAsia="en-GB"/>
        </w:rPr>
      </w:pPr>
      <w:r w:rsidRPr="0039298F">
        <w:rPr>
          <w:rFonts w:ascii="Arial" w:eastAsia="Times New Roman" w:hAnsi="Arial" w:cs="Arial"/>
          <w:b/>
          <w:bCs/>
          <w:i/>
          <w:iCs/>
          <w:lang w:eastAsia="en-GB"/>
        </w:rPr>
        <w:t>„Tato problematika se týká pouze konkrétního odvětví”</w:t>
      </w:r>
      <w:r w:rsidRPr="0039298F">
        <w:rPr>
          <w:rFonts w:ascii="Arial" w:eastAsia="Times New Roman" w:hAnsi="Arial" w:cs="Arial"/>
          <w:lang w:eastAsia="en-GB"/>
        </w:rPr>
        <w:t xml:space="preserve"> </w:t>
      </w:r>
    </w:p>
    <w:p w:rsidR="007B18CC" w:rsidRPr="0039298F" w:rsidRDefault="007B18CC" w:rsidP="007B18CC">
      <w:pPr>
        <w:numPr>
          <w:ilvl w:val="0"/>
          <w:numId w:val="2"/>
        </w:numPr>
        <w:spacing w:line="276" w:lineRule="auto"/>
        <w:jc w:val="both"/>
        <w:rPr>
          <w:rFonts w:ascii="Arial" w:eastAsia="Times New Roman" w:hAnsi="Arial" w:cs="Arial"/>
          <w:lang w:eastAsia="en-GB"/>
        </w:rPr>
      </w:pPr>
      <w:r w:rsidRPr="0039298F">
        <w:rPr>
          <w:rFonts w:ascii="Arial" w:eastAsia="Times New Roman" w:hAnsi="Arial" w:cs="Arial"/>
          <w:lang w:eastAsia="en-GB"/>
        </w:rPr>
        <w:t xml:space="preserve">Ne, netýká. O obalu je třeba uvažovat společně s výrobkem, který obsahuje. Tudíž kromě dotčeného obalového průmyslu se to týká veškerého baleného zboží ve všech odvětvích. </w:t>
      </w:r>
    </w:p>
    <w:p w:rsidR="007B18CC" w:rsidRPr="0039298F" w:rsidRDefault="007B18CC" w:rsidP="007B18CC">
      <w:pPr>
        <w:numPr>
          <w:ilvl w:val="0"/>
          <w:numId w:val="2"/>
        </w:numPr>
        <w:spacing w:line="276" w:lineRule="auto"/>
        <w:jc w:val="both"/>
        <w:rPr>
          <w:rFonts w:ascii="Arial" w:eastAsia="Times New Roman" w:hAnsi="Arial" w:cs="Arial"/>
          <w:lang w:eastAsia="en-GB"/>
        </w:rPr>
      </w:pPr>
      <w:r w:rsidRPr="0039298F">
        <w:rPr>
          <w:rFonts w:ascii="Arial" w:eastAsia="Times New Roman" w:hAnsi="Arial" w:cs="Arial"/>
          <w:lang w:eastAsia="en-GB"/>
        </w:rPr>
        <w:t xml:space="preserve">Regulace a zároveň fragmentace politik týkajících se obalů má zároveň dopad na výrobky, které obaly obsahují (zejména to platí o prodejních obalech). Často </w:t>
      </w:r>
      <w:r w:rsidRPr="0039298F">
        <w:rPr>
          <w:rFonts w:ascii="Arial" w:eastAsia="Times New Roman" w:hAnsi="Arial" w:cs="Arial"/>
          <w:lang w:eastAsia="en-GB"/>
        </w:rPr>
        <w:lastRenderedPageBreak/>
        <w:t>inovace v designu výrobků bude vyžadovat inovace i jejich obalů. Vnitrostátní požadavky na design vztahující se pouze na obaly mohou de facto omezit/omezí inovace jak v designu výrobků, tak v designu obalů, a to včetně těch, které zmírňují dopad na životní prostředí.</w:t>
      </w:r>
    </w:p>
    <w:p w:rsidR="007B18CC" w:rsidRPr="0039298F" w:rsidRDefault="007B18CC" w:rsidP="007B18CC">
      <w:pPr>
        <w:numPr>
          <w:ilvl w:val="0"/>
          <w:numId w:val="2"/>
        </w:numPr>
        <w:spacing w:line="276" w:lineRule="auto"/>
        <w:jc w:val="both"/>
        <w:rPr>
          <w:rFonts w:ascii="Arial" w:eastAsia="Times New Roman" w:hAnsi="Arial" w:cs="Arial"/>
          <w:lang w:eastAsia="en-GB"/>
        </w:rPr>
      </w:pPr>
      <w:r w:rsidRPr="0039298F">
        <w:rPr>
          <w:rFonts w:ascii="Arial" w:eastAsia="Times New Roman" w:hAnsi="Arial" w:cs="Arial"/>
          <w:lang w:eastAsia="en-GB"/>
        </w:rPr>
        <w:t xml:space="preserve">Toto opatření povede k právní nejistotě. Ta nepříznivě ovlivní inovace, celosvětovou konkurenceschopnost podniků EU, růst a tvorbu pracovních míst tím, že </w:t>
      </w:r>
      <w:proofErr w:type="gramStart"/>
      <w:r w:rsidRPr="0039298F">
        <w:rPr>
          <w:rFonts w:ascii="Arial" w:eastAsia="Times New Roman" w:hAnsi="Arial" w:cs="Arial"/>
          <w:lang w:eastAsia="en-GB"/>
        </w:rPr>
        <w:t>odstraní  rozsah</w:t>
      </w:r>
      <w:proofErr w:type="gramEnd"/>
      <w:r w:rsidRPr="0039298F">
        <w:rPr>
          <w:rFonts w:ascii="Arial" w:eastAsia="Times New Roman" w:hAnsi="Arial" w:cs="Arial"/>
          <w:lang w:eastAsia="en-GB"/>
        </w:rPr>
        <w:t>, který jednotný trh pro investice nabízí. To je proti cílům balíčku oběhového hospodářství, tedy propagovat inovace a podporovat hospodářství EU při šíření balíčku oběhového hospodářství.</w:t>
      </w:r>
    </w:p>
    <w:p w:rsidR="007B18CC" w:rsidRPr="0039298F" w:rsidRDefault="007B18CC" w:rsidP="007B18CC">
      <w:pPr>
        <w:numPr>
          <w:ilvl w:val="0"/>
          <w:numId w:val="2"/>
        </w:numPr>
        <w:spacing w:line="276" w:lineRule="auto"/>
        <w:jc w:val="both"/>
        <w:rPr>
          <w:rFonts w:ascii="Arial" w:eastAsia="Times New Roman" w:hAnsi="Arial" w:cs="Arial"/>
          <w:lang w:eastAsia="en-GB"/>
        </w:rPr>
      </w:pPr>
      <w:r w:rsidRPr="0039298F">
        <w:rPr>
          <w:rFonts w:ascii="Arial" w:eastAsia="Times New Roman" w:hAnsi="Arial" w:cs="Arial"/>
          <w:lang w:eastAsia="en-GB"/>
        </w:rPr>
        <w:t xml:space="preserve">Jednotlivé členské státy mohou chtít na svém území znevýhodňovat nebo zvýhodňovat konkrétní obalové materiály/formáty, aniž by si uvědomily, že jiný členský stát může udělat to samé u jiných výrobků/obalů, a to bez ochrany vnitřního trhu zakotvené v článku 114. Jaký objem svého vývozního obchodu jste ochotni ohrozit kvůli vrtochům či protekcionistickým tendencím jiných členských států?  </w:t>
      </w:r>
    </w:p>
    <w:p w:rsidR="007B18CC" w:rsidRPr="0039298F" w:rsidRDefault="007B18CC" w:rsidP="007B18CC">
      <w:pPr>
        <w:spacing w:line="276" w:lineRule="auto"/>
        <w:jc w:val="both"/>
        <w:rPr>
          <w:rFonts w:ascii="Arial" w:hAnsi="Arial" w:cs="Arial"/>
          <w:lang w:eastAsia="en-GB"/>
        </w:rPr>
      </w:pPr>
    </w:p>
    <w:p w:rsidR="007B18CC" w:rsidRPr="0039298F" w:rsidRDefault="007B18CC" w:rsidP="007B18CC">
      <w:pPr>
        <w:spacing w:line="276" w:lineRule="auto"/>
        <w:jc w:val="both"/>
        <w:rPr>
          <w:rFonts w:ascii="Arial" w:eastAsia="Times New Roman" w:hAnsi="Arial" w:cs="Arial"/>
          <w:b/>
          <w:bCs/>
          <w:i/>
          <w:iCs/>
          <w:lang w:eastAsia="en-GB"/>
        </w:rPr>
      </w:pPr>
      <w:r w:rsidRPr="0039298F">
        <w:rPr>
          <w:rFonts w:ascii="Arial" w:eastAsia="Times New Roman" w:hAnsi="Arial" w:cs="Arial"/>
          <w:b/>
          <w:bCs/>
          <w:i/>
          <w:iCs/>
          <w:lang w:eastAsia="en-GB"/>
        </w:rPr>
        <w:t>„Stanovisko Právní slu</w:t>
      </w:r>
      <w:r w:rsidRPr="0039298F">
        <w:rPr>
          <w:rFonts w:ascii="Arial" w:eastAsia="Calibri" w:hAnsi="Arial" w:cs="Arial"/>
          <w:b/>
          <w:bCs/>
          <w:i/>
          <w:iCs/>
          <w:lang w:eastAsia="en-GB"/>
        </w:rPr>
        <w:t>ž</w:t>
      </w:r>
      <w:r w:rsidRPr="0039298F">
        <w:rPr>
          <w:rFonts w:ascii="Arial" w:eastAsia="Times New Roman" w:hAnsi="Arial" w:cs="Arial"/>
          <w:b/>
          <w:bCs/>
          <w:i/>
          <w:iCs/>
          <w:lang w:eastAsia="en-GB"/>
        </w:rPr>
        <w:t>by Rady vychází ze skute</w:t>
      </w:r>
      <w:r w:rsidRPr="0039298F">
        <w:rPr>
          <w:rFonts w:ascii="Arial" w:eastAsia="Calibri" w:hAnsi="Arial" w:cs="Arial"/>
          <w:b/>
          <w:bCs/>
          <w:i/>
          <w:iCs/>
          <w:lang w:eastAsia="en-GB"/>
        </w:rPr>
        <w:t>č</w:t>
      </w:r>
      <w:r w:rsidRPr="0039298F">
        <w:rPr>
          <w:rFonts w:ascii="Arial" w:eastAsia="Times New Roman" w:hAnsi="Arial" w:cs="Arial"/>
          <w:b/>
          <w:bCs/>
          <w:i/>
          <w:iCs/>
          <w:lang w:eastAsia="en-GB"/>
        </w:rPr>
        <w:t xml:space="preserve">nosti, </w:t>
      </w:r>
      <w:r w:rsidRPr="0039298F">
        <w:rPr>
          <w:rFonts w:ascii="Arial" w:eastAsia="Calibri" w:hAnsi="Arial" w:cs="Arial"/>
          <w:b/>
          <w:bCs/>
          <w:i/>
          <w:iCs/>
          <w:lang w:eastAsia="en-GB"/>
        </w:rPr>
        <w:t>ž</w:t>
      </w:r>
      <w:r w:rsidRPr="0039298F">
        <w:rPr>
          <w:rFonts w:ascii="Arial" w:eastAsia="Times New Roman" w:hAnsi="Arial" w:cs="Arial"/>
          <w:b/>
          <w:bCs/>
          <w:i/>
          <w:iCs/>
          <w:lang w:eastAsia="en-GB"/>
        </w:rPr>
        <w:t>e sm</w:t>
      </w:r>
      <w:r w:rsidRPr="0039298F">
        <w:rPr>
          <w:rFonts w:ascii="Arial" w:eastAsia="Calibri" w:hAnsi="Arial" w:cs="Arial"/>
          <w:b/>
          <w:bCs/>
          <w:i/>
          <w:iCs/>
          <w:lang w:eastAsia="en-GB"/>
        </w:rPr>
        <w:t>ě</w:t>
      </w:r>
      <w:r w:rsidRPr="0039298F">
        <w:rPr>
          <w:rFonts w:ascii="Arial" w:eastAsia="Times New Roman" w:hAnsi="Arial" w:cs="Arial"/>
          <w:b/>
          <w:bCs/>
          <w:i/>
          <w:iCs/>
          <w:lang w:eastAsia="en-GB"/>
        </w:rPr>
        <w:t>rnice PPWD se ubírá stále více sm</w:t>
      </w:r>
      <w:r w:rsidRPr="0039298F">
        <w:rPr>
          <w:rFonts w:ascii="Arial" w:eastAsia="Calibri" w:hAnsi="Arial" w:cs="Arial"/>
          <w:b/>
          <w:bCs/>
          <w:i/>
          <w:iCs/>
          <w:lang w:eastAsia="en-GB"/>
        </w:rPr>
        <w:t>ě</w:t>
      </w:r>
      <w:r w:rsidRPr="0039298F">
        <w:rPr>
          <w:rFonts w:ascii="Arial" w:eastAsia="Times New Roman" w:hAnsi="Arial" w:cs="Arial"/>
          <w:b/>
          <w:bCs/>
          <w:i/>
          <w:iCs/>
          <w:lang w:eastAsia="en-GB"/>
        </w:rPr>
        <w:t>rem k ochran</w:t>
      </w:r>
      <w:r w:rsidRPr="0039298F">
        <w:rPr>
          <w:rFonts w:ascii="Arial" w:eastAsia="Calibri" w:hAnsi="Arial" w:cs="Arial"/>
          <w:b/>
          <w:bCs/>
          <w:i/>
          <w:iCs/>
          <w:lang w:eastAsia="en-GB"/>
        </w:rPr>
        <w:t>ě</w:t>
      </w:r>
      <w:r w:rsidRPr="0039298F">
        <w:rPr>
          <w:rFonts w:ascii="Arial" w:eastAsia="Times New Roman" w:hAnsi="Arial" w:cs="Arial"/>
          <w:b/>
          <w:bCs/>
          <w:i/>
          <w:iCs/>
          <w:lang w:eastAsia="en-GB"/>
        </w:rPr>
        <w:t xml:space="preserve"> </w:t>
      </w:r>
      <w:r w:rsidRPr="0039298F">
        <w:rPr>
          <w:rFonts w:ascii="Arial" w:eastAsia="Calibri" w:hAnsi="Arial" w:cs="Arial"/>
          <w:b/>
          <w:bCs/>
          <w:i/>
          <w:iCs/>
          <w:lang w:eastAsia="en-GB"/>
        </w:rPr>
        <w:t>ž</w:t>
      </w:r>
      <w:r w:rsidRPr="0039298F">
        <w:rPr>
          <w:rFonts w:ascii="Arial" w:eastAsia="Times New Roman" w:hAnsi="Arial" w:cs="Arial"/>
          <w:b/>
          <w:bCs/>
          <w:i/>
          <w:iCs/>
          <w:lang w:eastAsia="en-GB"/>
        </w:rPr>
        <w:t>ivotního prost</w:t>
      </w:r>
      <w:r w:rsidRPr="0039298F">
        <w:rPr>
          <w:rFonts w:ascii="Arial" w:eastAsia="Calibri" w:hAnsi="Arial" w:cs="Arial"/>
          <w:b/>
          <w:bCs/>
          <w:i/>
          <w:iCs/>
          <w:lang w:eastAsia="en-GB"/>
        </w:rPr>
        <w:t>ř</w:t>
      </w:r>
      <w:r w:rsidRPr="0039298F">
        <w:rPr>
          <w:rFonts w:ascii="Arial" w:eastAsia="Times New Roman" w:hAnsi="Arial" w:cs="Arial"/>
          <w:b/>
          <w:bCs/>
          <w:i/>
          <w:iCs/>
          <w:lang w:eastAsia="en-GB"/>
        </w:rPr>
        <w:t>edí”.</w:t>
      </w:r>
      <w:r w:rsidRPr="0039298F">
        <w:rPr>
          <w:rFonts w:ascii="Arial" w:eastAsia="Times New Roman" w:hAnsi="Arial" w:cs="Arial"/>
          <w:lang w:eastAsia="en-GB"/>
        </w:rPr>
        <w:t xml:space="preserve"> </w:t>
      </w:r>
    </w:p>
    <w:p w:rsidR="007B18CC" w:rsidRPr="0039298F" w:rsidRDefault="007B18CC" w:rsidP="007B18CC">
      <w:pPr>
        <w:numPr>
          <w:ilvl w:val="0"/>
          <w:numId w:val="3"/>
        </w:numPr>
        <w:spacing w:line="276" w:lineRule="auto"/>
        <w:jc w:val="both"/>
        <w:rPr>
          <w:rFonts w:ascii="Arial" w:eastAsia="Times New Roman" w:hAnsi="Arial" w:cs="Arial"/>
          <w:lang w:eastAsia="en-GB"/>
        </w:rPr>
      </w:pPr>
      <w:r w:rsidRPr="0039298F">
        <w:rPr>
          <w:rFonts w:ascii="Arial" w:eastAsia="Times New Roman" w:hAnsi="Arial" w:cs="Arial"/>
          <w:lang w:eastAsia="en-GB"/>
        </w:rPr>
        <w:t>Směrnice PPWD stále obsahuje řadu významných úvodních ustanovení (bodů odůvodnění) a článků, které ukazují na fungování vnitřního trhu jako na hlavní cíl této směrnice (např. bod 21).</w:t>
      </w:r>
    </w:p>
    <w:p w:rsidR="007B18CC" w:rsidRPr="0039298F" w:rsidRDefault="007B18CC" w:rsidP="007B18CC">
      <w:pPr>
        <w:numPr>
          <w:ilvl w:val="0"/>
          <w:numId w:val="3"/>
        </w:numPr>
        <w:spacing w:line="276" w:lineRule="auto"/>
        <w:jc w:val="both"/>
        <w:rPr>
          <w:rFonts w:ascii="Arial" w:eastAsia="Times New Roman" w:hAnsi="Arial" w:cs="Arial"/>
          <w:lang w:eastAsia="en-GB"/>
        </w:rPr>
      </w:pPr>
      <w:r w:rsidRPr="0039298F">
        <w:rPr>
          <w:rFonts w:ascii="Arial" w:eastAsia="Times New Roman" w:hAnsi="Arial" w:cs="Arial"/>
          <w:lang w:eastAsia="en-GB"/>
        </w:rPr>
        <w:t>Článek 114 (Smlouvy o fungování Evropské unie) je jediný článek, který pokrývá oba cíle (ochrana životního prostředí a ochrana vnitřního trhu) směrnice PPWD (neboť již obsahuje několik zmínek o ochraně životního prostředí).</w:t>
      </w:r>
    </w:p>
    <w:p w:rsidR="007B18CC" w:rsidRPr="0039298F" w:rsidRDefault="007B18CC" w:rsidP="007B18CC">
      <w:pPr>
        <w:numPr>
          <w:ilvl w:val="0"/>
          <w:numId w:val="3"/>
        </w:numPr>
        <w:spacing w:line="276" w:lineRule="auto"/>
        <w:jc w:val="both"/>
        <w:rPr>
          <w:rFonts w:ascii="Arial" w:eastAsia="Times New Roman" w:hAnsi="Arial" w:cs="Arial"/>
          <w:lang w:eastAsia="en-GB"/>
        </w:rPr>
      </w:pPr>
      <w:r w:rsidRPr="0039298F">
        <w:rPr>
          <w:rFonts w:ascii="Arial" w:eastAsia="Times New Roman" w:hAnsi="Arial" w:cs="Arial"/>
          <w:lang w:eastAsia="en-GB"/>
        </w:rPr>
        <w:t xml:space="preserve">PPWD není jako ostatní směrnice směrnicí čistě odpadovou. Obsahuje opatření týkající se výrobků a odpadů, neboť obaly nelze posuzovat bez výrobků, které obsahují. Stejně tak </w:t>
      </w:r>
      <w:r w:rsidRPr="0039298F">
        <w:rPr>
          <w:rFonts w:ascii="Arial" w:eastAsia="Times New Roman" w:hAnsi="Arial" w:cs="Arial"/>
          <w:u w:val="single"/>
          <w:lang w:eastAsia="en-GB"/>
        </w:rPr>
        <w:t>obaly</w:t>
      </w:r>
      <w:r w:rsidRPr="0039298F">
        <w:rPr>
          <w:rFonts w:ascii="Arial" w:eastAsia="Times New Roman" w:hAnsi="Arial" w:cs="Arial"/>
          <w:lang w:eastAsia="en-GB"/>
        </w:rPr>
        <w:t xml:space="preserve"> nejsou totéž co </w:t>
      </w:r>
      <w:r w:rsidRPr="0039298F">
        <w:rPr>
          <w:rFonts w:ascii="Arial" w:eastAsia="Times New Roman" w:hAnsi="Arial" w:cs="Arial"/>
          <w:u w:val="single"/>
          <w:lang w:eastAsia="en-GB"/>
        </w:rPr>
        <w:t>obalové odpady</w:t>
      </w:r>
      <w:r w:rsidRPr="0039298F">
        <w:rPr>
          <w:rFonts w:ascii="Arial" w:eastAsia="Times New Roman" w:hAnsi="Arial" w:cs="Arial"/>
          <w:lang w:eastAsia="en-GB"/>
        </w:rPr>
        <w:t>, jak je patrno z názvu směrnice.</w:t>
      </w:r>
      <w:r w:rsidRPr="0039298F">
        <w:rPr>
          <w:rFonts w:ascii="Arial" w:eastAsia="Times New Roman" w:hAnsi="Arial" w:cs="Arial"/>
          <w:u w:val="single"/>
          <w:lang w:eastAsia="en-GB"/>
        </w:rPr>
        <w:t xml:space="preserve"> </w:t>
      </w:r>
    </w:p>
    <w:p w:rsidR="007B18CC" w:rsidRPr="0039298F" w:rsidRDefault="007B18CC" w:rsidP="007B18CC">
      <w:pPr>
        <w:numPr>
          <w:ilvl w:val="0"/>
          <w:numId w:val="3"/>
        </w:numPr>
        <w:spacing w:line="276" w:lineRule="auto"/>
        <w:jc w:val="both"/>
        <w:rPr>
          <w:rFonts w:ascii="Arial" w:eastAsia="Times New Roman" w:hAnsi="Arial" w:cs="Arial"/>
          <w:lang w:eastAsia="en-GB"/>
        </w:rPr>
      </w:pPr>
      <w:r w:rsidRPr="0039298F">
        <w:rPr>
          <w:rFonts w:ascii="Arial" w:eastAsia="Times New Roman" w:hAnsi="Arial" w:cs="Arial"/>
          <w:lang w:eastAsia="en-GB"/>
        </w:rPr>
        <w:t xml:space="preserve">Jelikož cílem směrnice PPWD je volný obchod baleného zboží v rámci vnitřního trhu, musí tuto skutečnost rovněž uznávat každý pozměňovací návrh k této směrnici. Zdá se, že to je jediný způsob, jak se vyhnout tomu, že četné pozměňovací návrhy budou neustále oddělovat legislativní opatření od svého původního právního </w:t>
      </w:r>
      <w:proofErr w:type="gramStart"/>
      <w:r w:rsidRPr="0039298F">
        <w:rPr>
          <w:rFonts w:ascii="Arial" w:eastAsia="Times New Roman" w:hAnsi="Arial" w:cs="Arial"/>
          <w:lang w:eastAsia="en-GB"/>
        </w:rPr>
        <w:t>základu,  a tak</w:t>
      </w:r>
      <w:proofErr w:type="gramEnd"/>
      <w:r w:rsidRPr="0039298F">
        <w:rPr>
          <w:rFonts w:ascii="Arial" w:eastAsia="Times New Roman" w:hAnsi="Arial" w:cs="Arial"/>
          <w:lang w:eastAsia="en-GB"/>
        </w:rPr>
        <w:t xml:space="preserve"> nepříznivě ovlivní soudržnost a provozní účinnost.  </w:t>
      </w:r>
    </w:p>
    <w:p w:rsidR="007B18CC" w:rsidRPr="0039298F" w:rsidRDefault="007B18CC" w:rsidP="007B18CC">
      <w:pPr>
        <w:spacing w:line="276" w:lineRule="auto"/>
        <w:ind w:left="1440"/>
        <w:jc w:val="both"/>
        <w:rPr>
          <w:rFonts w:ascii="Arial" w:hAnsi="Arial" w:cs="Arial"/>
          <w:lang w:eastAsia="en-GB"/>
        </w:rPr>
      </w:pPr>
    </w:p>
    <w:p w:rsidR="007B18CC" w:rsidRPr="0039298F" w:rsidRDefault="007B18CC" w:rsidP="007B18CC">
      <w:pPr>
        <w:spacing w:line="276" w:lineRule="auto"/>
        <w:jc w:val="both"/>
        <w:rPr>
          <w:rFonts w:ascii="Arial" w:eastAsia="Times New Roman" w:hAnsi="Arial" w:cs="Arial"/>
          <w:b/>
          <w:bCs/>
          <w:i/>
          <w:iCs/>
          <w:lang w:eastAsia="en-GB"/>
        </w:rPr>
      </w:pPr>
      <w:r w:rsidRPr="0039298F">
        <w:rPr>
          <w:rFonts w:ascii="Arial" w:eastAsia="Times New Roman" w:hAnsi="Arial" w:cs="Arial"/>
          <w:b/>
          <w:bCs/>
          <w:i/>
          <w:iCs/>
          <w:lang w:eastAsia="en-GB"/>
        </w:rPr>
        <w:t>„Zm</w:t>
      </w:r>
      <w:r w:rsidRPr="0039298F">
        <w:rPr>
          <w:rFonts w:ascii="Arial" w:eastAsia="Calibri" w:hAnsi="Arial" w:cs="Arial"/>
          <w:b/>
          <w:bCs/>
          <w:i/>
          <w:iCs/>
          <w:lang w:eastAsia="en-GB"/>
        </w:rPr>
        <w:t>ě</w:t>
      </w:r>
      <w:r w:rsidRPr="0039298F">
        <w:rPr>
          <w:rFonts w:ascii="Arial" w:eastAsia="Times New Roman" w:hAnsi="Arial" w:cs="Arial"/>
          <w:b/>
          <w:bCs/>
          <w:i/>
          <w:iCs/>
          <w:lang w:eastAsia="en-GB"/>
        </w:rPr>
        <w:t>na se týká pouze pozm</w:t>
      </w:r>
      <w:r w:rsidRPr="0039298F">
        <w:rPr>
          <w:rFonts w:ascii="Arial" w:eastAsia="Calibri" w:hAnsi="Arial" w:cs="Arial"/>
          <w:b/>
          <w:bCs/>
          <w:i/>
          <w:iCs/>
          <w:lang w:eastAsia="en-GB"/>
        </w:rPr>
        <w:t>ěň</w:t>
      </w:r>
      <w:r w:rsidRPr="0039298F">
        <w:rPr>
          <w:rFonts w:ascii="Arial" w:eastAsia="Times New Roman" w:hAnsi="Arial" w:cs="Arial"/>
          <w:b/>
          <w:bCs/>
          <w:i/>
          <w:iCs/>
          <w:lang w:eastAsia="en-GB"/>
        </w:rPr>
        <w:t>ovacích návrh</w:t>
      </w:r>
      <w:r w:rsidRPr="0039298F">
        <w:rPr>
          <w:rFonts w:ascii="Arial" w:eastAsia="Calibri" w:hAnsi="Arial" w:cs="Arial"/>
          <w:b/>
          <w:bCs/>
          <w:i/>
          <w:iCs/>
          <w:lang w:eastAsia="en-GB"/>
        </w:rPr>
        <w:t>ů</w:t>
      </w:r>
      <w:r w:rsidRPr="0039298F">
        <w:rPr>
          <w:rFonts w:ascii="Arial" w:eastAsia="Times New Roman" w:hAnsi="Arial" w:cs="Arial"/>
          <w:b/>
          <w:bCs/>
          <w:i/>
          <w:iCs/>
          <w:lang w:eastAsia="en-GB"/>
        </w:rPr>
        <w:t>, a nikoliv p</w:t>
      </w:r>
      <w:r w:rsidRPr="0039298F">
        <w:rPr>
          <w:rFonts w:ascii="Arial" w:eastAsia="Calibri" w:hAnsi="Arial" w:cs="Arial"/>
          <w:b/>
          <w:bCs/>
          <w:i/>
          <w:iCs/>
          <w:lang w:eastAsia="en-GB"/>
        </w:rPr>
        <w:t>ů</w:t>
      </w:r>
      <w:r w:rsidRPr="0039298F">
        <w:rPr>
          <w:rFonts w:ascii="Arial" w:eastAsia="Times New Roman" w:hAnsi="Arial" w:cs="Arial"/>
          <w:b/>
          <w:bCs/>
          <w:i/>
          <w:iCs/>
          <w:lang w:eastAsia="en-GB"/>
        </w:rPr>
        <w:t>vodní sm</w:t>
      </w:r>
      <w:r w:rsidRPr="0039298F">
        <w:rPr>
          <w:rFonts w:ascii="Arial" w:eastAsia="Calibri" w:hAnsi="Arial" w:cs="Arial"/>
          <w:b/>
          <w:bCs/>
          <w:i/>
          <w:iCs/>
          <w:lang w:eastAsia="en-GB"/>
        </w:rPr>
        <w:t>ě</w:t>
      </w:r>
      <w:r w:rsidRPr="0039298F">
        <w:rPr>
          <w:rFonts w:ascii="Arial" w:eastAsia="Times New Roman" w:hAnsi="Arial" w:cs="Arial"/>
          <w:b/>
          <w:bCs/>
          <w:i/>
          <w:iCs/>
          <w:lang w:eastAsia="en-GB"/>
        </w:rPr>
        <w:t>rnice PPWD”.</w:t>
      </w:r>
      <w:r w:rsidRPr="0039298F">
        <w:rPr>
          <w:rFonts w:ascii="Arial" w:eastAsia="Times New Roman" w:hAnsi="Arial" w:cs="Arial"/>
          <w:lang w:eastAsia="en-GB"/>
        </w:rPr>
        <w:t xml:space="preserve"> </w:t>
      </w:r>
    </w:p>
    <w:p w:rsidR="007B18CC" w:rsidRPr="0039298F" w:rsidRDefault="007B18CC" w:rsidP="007B18CC">
      <w:pPr>
        <w:numPr>
          <w:ilvl w:val="0"/>
          <w:numId w:val="4"/>
        </w:numPr>
        <w:spacing w:line="276" w:lineRule="auto"/>
        <w:jc w:val="both"/>
        <w:rPr>
          <w:rFonts w:ascii="Arial" w:eastAsia="Times New Roman" w:hAnsi="Arial" w:cs="Arial"/>
          <w:lang w:eastAsia="en-GB"/>
        </w:rPr>
      </w:pPr>
      <w:r w:rsidRPr="0039298F">
        <w:rPr>
          <w:rFonts w:ascii="Arial" w:eastAsia="Times New Roman" w:hAnsi="Arial" w:cs="Arial"/>
          <w:lang w:eastAsia="en-GB"/>
        </w:rPr>
        <w:t xml:space="preserve">To je pravda, ale některé pozměňovací návrhy mohou být přímo ovlivněny: například pozměňovací návrh EPP, který požaduje trvalé snížení spotřeby nadměrných obalů a nerecyklovatelných obalů, nebo pozměňovací návrh EPP týkající se orientačních cílů v oblasti opětovného použití, nebo pozměňovací návrh Rady k článku 5 týkající se systémů zálohování a kvantitativních cílů. </w:t>
      </w:r>
    </w:p>
    <w:p w:rsidR="007B18CC" w:rsidRPr="0039298F" w:rsidRDefault="007B18CC" w:rsidP="007B18CC">
      <w:pPr>
        <w:numPr>
          <w:ilvl w:val="0"/>
          <w:numId w:val="4"/>
        </w:numPr>
        <w:spacing w:line="276" w:lineRule="auto"/>
        <w:jc w:val="both"/>
        <w:rPr>
          <w:rFonts w:ascii="Arial" w:eastAsia="Times New Roman" w:hAnsi="Arial" w:cs="Arial"/>
          <w:lang w:eastAsia="en-GB"/>
        </w:rPr>
      </w:pPr>
      <w:r w:rsidRPr="0039298F">
        <w:rPr>
          <w:rFonts w:ascii="Arial" w:eastAsia="Times New Roman" w:hAnsi="Arial" w:cs="Arial"/>
          <w:lang w:eastAsia="en-GB"/>
        </w:rPr>
        <w:lastRenderedPageBreak/>
        <w:t xml:space="preserve">Rovněž nový bod 19a v nejnovějším kompromisním znění Rady </w:t>
      </w:r>
      <w:r w:rsidRPr="0039298F">
        <w:rPr>
          <w:rFonts w:ascii="Arial" w:eastAsia="Times New Roman" w:hAnsi="Arial" w:cs="Arial"/>
          <w:u w:val="single"/>
          <w:lang w:eastAsia="en-GB"/>
        </w:rPr>
        <w:t>výslovně</w:t>
      </w:r>
      <w:r w:rsidRPr="0039298F">
        <w:rPr>
          <w:rFonts w:ascii="Arial" w:eastAsia="Times New Roman" w:hAnsi="Arial" w:cs="Arial"/>
          <w:lang w:eastAsia="en-GB"/>
        </w:rPr>
        <w:t xml:space="preserve"> hovoří o celkovém přepracování směrnice PPWD v blízké budoucnosti. Přepracování by umožnilo úplnou změnu právního základu směrnice PPWD. </w:t>
      </w:r>
    </w:p>
    <w:p w:rsidR="007B18CC" w:rsidRPr="0039298F" w:rsidRDefault="007B18CC" w:rsidP="007B18CC">
      <w:pPr>
        <w:numPr>
          <w:ilvl w:val="0"/>
          <w:numId w:val="4"/>
        </w:numPr>
        <w:spacing w:line="276" w:lineRule="auto"/>
        <w:jc w:val="both"/>
        <w:rPr>
          <w:rFonts w:ascii="Arial" w:eastAsia="Times New Roman" w:hAnsi="Arial" w:cs="Arial"/>
          <w:lang w:eastAsia="en-GB"/>
        </w:rPr>
      </w:pPr>
      <w:r w:rsidRPr="0039298F">
        <w:rPr>
          <w:rFonts w:ascii="Arial" w:eastAsia="Times New Roman" w:hAnsi="Arial" w:cs="Arial"/>
          <w:lang w:eastAsia="en-GB"/>
        </w:rPr>
        <w:t xml:space="preserve">Nejedná se o čistě právní otázku. Je to i otázka politická, která je spojena se samotným smyslem existence EU a zásadami EU o volném pohybu (baleného) zboží v rámci všech 28 členských států. </w:t>
      </w:r>
    </w:p>
    <w:p w:rsidR="007B18CC" w:rsidRPr="0039298F" w:rsidRDefault="007B18CC" w:rsidP="007B18CC">
      <w:pPr>
        <w:spacing w:line="276" w:lineRule="auto"/>
        <w:ind w:left="1440"/>
        <w:jc w:val="both"/>
        <w:rPr>
          <w:rFonts w:ascii="Arial" w:hAnsi="Arial" w:cs="Arial"/>
          <w:lang w:eastAsia="en-GB"/>
        </w:rPr>
      </w:pPr>
    </w:p>
    <w:p w:rsidR="007B18CC" w:rsidRPr="0039298F" w:rsidRDefault="007B18CC" w:rsidP="007B18CC">
      <w:pPr>
        <w:spacing w:line="276" w:lineRule="auto"/>
        <w:jc w:val="both"/>
        <w:rPr>
          <w:rFonts w:ascii="Arial" w:eastAsia="Times New Roman" w:hAnsi="Arial" w:cs="Arial"/>
          <w:b/>
          <w:bCs/>
          <w:i/>
          <w:iCs/>
          <w:lang w:eastAsia="en-GB"/>
        </w:rPr>
      </w:pPr>
      <w:r w:rsidRPr="0039298F">
        <w:rPr>
          <w:rFonts w:ascii="Arial" w:eastAsia="Times New Roman" w:hAnsi="Arial" w:cs="Arial"/>
          <w:b/>
          <w:bCs/>
          <w:i/>
          <w:iCs/>
          <w:lang w:eastAsia="en-GB"/>
        </w:rPr>
        <w:t>„Oznámení předem (ex ante) by dle článku 192 zůstalo v platnosti”</w:t>
      </w:r>
      <w:r w:rsidRPr="0039298F">
        <w:rPr>
          <w:rFonts w:ascii="Arial" w:eastAsia="Times New Roman" w:hAnsi="Arial" w:cs="Arial"/>
          <w:lang w:eastAsia="en-GB"/>
        </w:rPr>
        <w:t xml:space="preserve"> </w:t>
      </w:r>
    </w:p>
    <w:p w:rsidR="007B18CC" w:rsidRPr="0039298F" w:rsidRDefault="007B18CC" w:rsidP="007B18CC">
      <w:pPr>
        <w:numPr>
          <w:ilvl w:val="0"/>
          <w:numId w:val="5"/>
        </w:numPr>
        <w:spacing w:line="276" w:lineRule="auto"/>
        <w:jc w:val="both"/>
        <w:rPr>
          <w:rFonts w:ascii="Arial" w:eastAsia="Times New Roman" w:hAnsi="Arial" w:cs="Arial"/>
          <w:lang w:eastAsia="en-GB"/>
        </w:rPr>
      </w:pPr>
      <w:r w:rsidRPr="0039298F">
        <w:rPr>
          <w:rFonts w:ascii="Arial" w:eastAsia="Times New Roman" w:hAnsi="Arial" w:cs="Arial"/>
          <w:lang w:eastAsia="en-GB"/>
        </w:rPr>
        <w:t xml:space="preserve">To by platilo, ale následujícím způsobem; pokud článek 16 zůstane součástí směrnice PPWD, jakákoli vnitrostátní legislativa v rámci směrnice PPWD by měla být předem oznámena </w:t>
      </w:r>
      <w:r w:rsidRPr="0039298F">
        <w:rPr>
          <w:rFonts w:ascii="Arial" w:eastAsia="Times New Roman" w:hAnsi="Arial" w:cs="Arial"/>
          <w:i/>
          <w:iCs/>
          <w:lang w:eastAsia="en-GB"/>
        </w:rPr>
        <w:t>ex ante</w:t>
      </w:r>
      <w:r w:rsidRPr="0039298F">
        <w:rPr>
          <w:rFonts w:ascii="Arial" w:eastAsia="Times New Roman" w:hAnsi="Arial" w:cs="Arial"/>
          <w:lang w:eastAsia="en-GB"/>
        </w:rPr>
        <w:t xml:space="preserve">. Stávající pozměňovací návrh nechává zatím v tomto procesu tento zásadní článek 16 v nezměněné podobě, což znamená, že článek 114 (Smlouvy) zůstává v platnosti. Jsme si tedy poměrně jisti, že stávající pozměňovací návrh nebude upravovat </w:t>
      </w:r>
      <w:r w:rsidRPr="0039298F">
        <w:rPr>
          <w:rFonts w:ascii="Arial" w:eastAsia="Times New Roman" w:hAnsi="Arial" w:cs="Arial"/>
          <w:i/>
          <w:iCs/>
          <w:lang w:eastAsia="en-GB"/>
        </w:rPr>
        <w:t>ex ante</w:t>
      </w:r>
      <w:r w:rsidRPr="0039298F">
        <w:rPr>
          <w:rFonts w:ascii="Arial" w:eastAsia="Times New Roman" w:hAnsi="Arial" w:cs="Arial"/>
          <w:lang w:eastAsia="en-GB"/>
        </w:rPr>
        <w:t xml:space="preserve"> oznamovací povinnosti členských států.</w:t>
      </w:r>
    </w:p>
    <w:p w:rsidR="007B18CC" w:rsidRPr="0039298F" w:rsidRDefault="007B18CC" w:rsidP="007B18CC">
      <w:pPr>
        <w:numPr>
          <w:ilvl w:val="0"/>
          <w:numId w:val="5"/>
        </w:numPr>
        <w:spacing w:line="276" w:lineRule="auto"/>
        <w:jc w:val="both"/>
        <w:rPr>
          <w:rFonts w:ascii="Arial" w:eastAsia="Times New Roman" w:hAnsi="Arial" w:cs="Arial"/>
          <w:lang w:eastAsia="en-GB"/>
        </w:rPr>
      </w:pPr>
      <w:r w:rsidRPr="0039298F">
        <w:rPr>
          <w:rFonts w:ascii="Arial" w:eastAsia="Times New Roman" w:hAnsi="Arial" w:cs="Arial"/>
          <w:lang w:eastAsia="en-GB"/>
        </w:rPr>
        <w:t xml:space="preserve">My se však obáváme následujícího: i když článek 16 směrnice PPWD zůstává zatím beze změny, je nepochybně pravda, že článek 192 Smlouvy (a zejména související článek 193 Smlouvy) obsahují vzájemně si odporující cíle. Účelem článku 16 je v zásadě odradit členské státy od přijímání vnitrostátní legislativy, zatímco článek 193 výslovně povzbuzuje členské státy k tomu, aby tak činily. Obáváme se, že uplatnění článku 192 Smlouvy na – v současné době poměrně nevinný pozměňovací návrh – bude představovat precedens opravňující k uplatnění stejného právního základu u budoucích pozměňovacích návrhů, které nebudou již tak neškodné. Pokud budou myšlenky a účel článku 192 nyní přijaty jako součást směrnice PPWD, obáváme se posouvání působnosti budoucích pozměňovacích návrhů, které by ve skutečnosti mohly pozměnit, odstranit nebo jinak ohrozit článek 16 směrnice PPWD. Proto je důležité všechny nyní upozorňovat na to (než se začne s „posouváním”), jak důležitý je původní účel směrnice PPWD, kterým je vnitřní </w:t>
      </w:r>
      <w:proofErr w:type="gramStart"/>
      <w:r w:rsidRPr="0039298F">
        <w:rPr>
          <w:rFonts w:ascii="Arial" w:eastAsia="Times New Roman" w:hAnsi="Arial" w:cs="Arial"/>
          <w:lang w:eastAsia="en-GB"/>
        </w:rPr>
        <w:t>trh,  a jak</w:t>
      </w:r>
      <w:proofErr w:type="gramEnd"/>
      <w:r w:rsidRPr="0039298F">
        <w:rPr>
          <w:rFonts w:ascii="Arial" w:eastAsia="Times New Roman" w:hAnsi="Arial" w:cs="Arial"/>
          <w:lang w:eastAsia="en-GB"/>
        </w:rPr>
        <w:t xml:space="preserve"> může být tento cíl narušen dikcí článku 192.</w:t>
      </w:r>
    </w:p>
    <w:p w:rsidR="007B18CC" w:rsidRPr="0039298F" w:rsidRDefault="007B18CC" w:rsidP="007B18CC">
      <w:pPr>
        <w:numPr>
          <w:ilvl w:val="0"/>
          <w:numId w:val="5"/>
        </w:numPr>
        <w:spacing w:line="276" w:lineRule="auto"/>
        <w:jc w:val="both"/>
        <w:rPr>
          <w:rFonts w:ascii="Arial" w:eastAsia="Times New Roman" w:hAnsi="Arial" w:cs="Arial"/>
          <w:lang w:eastAsia="en-GB"/>
        </w:rPr>
      </w:pPr>
      <w:proofErr w:type="gramStart"/>
      <w:r w:rsidRPr="0039298F">
        <w:rPr>
          <w:rFonts w:ascii="Arial" w:eastAsia="Times New Roman" w:hAnsi="Arial" w:cs="Arial"/>
          <w:lang w:eastAsia="en-GB"/>
        </w:rPr>
        <w:t>Dokonce i pokud</w:t>
      </w:r>
      <w:proofErr w:type="gramEnd"/>
      <w:r w:rsidRPr="0039298F">
        <w:rPr>
          <w:rFonts w:ascii="Arial" w:eastAsia="Times New Roman" w:hAnsi="Arial" w:cs="Arial"/>
          <w:lang w:eastAsia="en-GB"/>
        </w:rPr>
        <w:t xml:space="preserve"> by v budoucnu – hypoteticky – článek 16 byl fakticky ze směrnice PPWD odstraněn, stejně některé oznamovací povinnosti </w:t>
      </w:r>
      <w:r w:rsidRPr="0039298F">
        <w:rPr>
          <w:rFonts w:ascii="Arial" w:eastAsia="Times New Roman" w:hAnsi="Arial" w:cs="Arial"/>
          <w:i/>
          <w:iCs/>
          <w:lang w:eastAsia="en-GB"/>
        </w:rPr>
        <w:t>ex ante</w:t>
      </w:r>
      <w:r w:rsidRPr="0039298F">
        <w:rPr>
          <w:rFonts w:ascii="Arial" w:eastAsia="Times New Roman" w:hAnsi="Arial" w:cs="Arial"/>
          <w:lang w:eastAsia="en-GB"/>
        </w:rPr>
        <w:t xml:space="preserve"> členským státům zůstanou (oznamovací povinnosti pro tzv. „technická nařízení“ dle samostatné ‘Pozastavovací směrnice (</w:t>
      </w:r>
      <w:proofErr w:type="spellStart"/>
      <w:r w:rsidRPr="0039298F">
        <w:rPr>
          <w:rFonts w:ascii="Arial" w:eastAsia="Times New Roman" w:hAnsi="Arial" w:cs="Arial"/>
          <w:lang w:eastAsia="en-GB"/>
        </w:rPr>
        <w:t>Standstill</w:t>
      </w:r>
      <w:proofErr w:type="spellEnd"/>
      <w:r w:rsidRPr="0039298F">
        <w:rPr>
          <w:rFonts w:ascii="Arial" w:eastAsia="Times New Roman" w:hAnsi="Arial" w:cs="Arial"/>
          <w:lang w:eastAsia="en-GB"/>
        </w:rPr>
        <w:t xml:space="preserve"> </w:t>
      </w:r>
      <w:proofErr w:type="spellStart"/>
      <w:r w:rsidRPr="0039298F">
        <w:rPr>
          <w:rFonts w:ascii="Arial" w:eastAsia="Times New Roman" w:hAnsi="Arial" w:cs="Arial"/>
          <w:lang w:eastAsia="en-GB"/>
        </w:rPr>
        <w:t>Directive</w:t>
      </w:r>
      <w:proofErr w:type="spellEnd"/>
      <w:r w:rsidRPr="0039298F">
        <w:rPr>
          <w:rFonts w:ascii="Arial" w:eastAsia="Times New Roman" w:hAnsi="Arial" w:cs="Arial"/>
          <w:lang w:eastAsia="en-GB"/>
        </w:rPr>
        <w:t>’). Směrnice PPWD rozhodně obsahuje některá ustanovení, která by bylo možné označit za „technická nařízení“, pro která bude tato Pozastavovací směrnice platit, ale rozhodně se chceme v tomto ohledu vyhnout problémům a sporům při výkladu. Komplexní a jednoznačné závazky uvedené v článku 16 představují nejlepší ochranu, kterou máme, a měli bychom proto myslet dopředu a reagovat na jakékoli její možné ohrožení.</w:t>
      </w:r>
    </w:p>
    <w:p w:rsidR="007B18CC" w:rsidRPr="0039298F" w:rsidRDefault="007B18CC" w:rsidP="007B18CC">
      <w:pPr>
        <w:spacing w:line="276" w:lineRule="auto"/>
        <w:ind w:left="1440"/>
        <w:jc w:val="both"/>
        <w:rPr>
          <w:rFonts w:ascii="Arial" w:hAnsi="Arial" w:cs="Arial"/>
          <w:lang w:eastAsia="en-GB"/>
        </w:rPr>
      </w:pPr>
    </w:p>
    <w:p w:rsidR="007B18CC" w:rsidRDefault="007B18CC" w:rsidP="007B18CC">
      <w:pPr>
        <w:spacing w:line="276" w:lineRule="auto"/>
        <w:jc w:val="both"/>
        <w:rPr>
          <w:rFonts w:ascii="Arial" w:eastAsia="Times New Roman" w:hAnsi="Arial" w:cs="Arial"/>
          <w:lang w:eastAsia="en-GB"/>
        </w:rPr>
      </w:pPr>
      <w:r w:rsidRPr="0039298F">
        <w:rPr>
          <w:rFonts w:ascii="Arial" w:eastAsia="Times New Roman" w:hAnsi="Arial" w:cs="Arial"/>
          <w:b/>
          <w:bCs/>
          <w:i/>
          <w:iCs/>
          <w:lang w:eastAsia="en-GB"/>
        </w:rPr>
        <w:lastRenderedPageBreak/>
        <w:t>„Stanovisko Právní slu</w:t>
      </w:r>
      <w:r w:rsidRPr="0039298F">
        <w:rPr>
          <w:rFonts w:ascii="Arial" w:eastAsia="Calibri" w:hAnsi="Arial" w:cs="Arial"/>
          <w:b/>
          <w:bCs/>
          <w:i/>
          <w:iCs/>
          <w:lang w:eastAsia="en-GB"/>
        </w:rPr>
        <w:t>ž</w:t>
      </w:r>
      <w:r w:rsidRPr="0039298F">
        <w:rPr>
          <w:rFonts w:ascii="Arial" w:eastAsia="Times New Roman" w:hAnsi="Arial" w:cs="Arial"/>
          <w:b/>
          <w:bCs/>
          <w:i/>
          <w:iCs/>
          <w:lang w:eastAsia="en-GB"/>
        </w:rPr>
        <w:t>by Rady vychází z rozhodnutí Soudního dvora Evropské unie”</w:t>
      </w:r>
      <w:r w:rsidRPr="0039298F">
        <w:rPr>
          <w:rFonts w:ascii="Arial" w:eastAsia="Times New Roman" w:hAnsi="Arial" w:cs="Arial"/>
          <w:lang w:eastAsia="en-GB"/>
        </w:rPr>
        <w:t xml:space="preserve"> </w:t>
      </w:r>
    </w:p>
    <w:p w:rsidR="007B18CC" w:rsidRPr="0039298F" w:rsidRDefault="007B18CC" w:rsidP="007B18CC">
      <w:pPr>
        <w:spacing w:line="276" w:lineRule="auto"/>
        <w:jc w:val="both"/>
        <w:rPr>
          <w:rFonts w:ascii="Arial" w:eastAsia="Times New Roman" w:hAnsi="Arial" w:cs="Arial"/>
          <w:b/>
          <w:bCs/>
          <w:i/>
          <w:iCs/>
          <w:lang w:eastAsia="en-GB"/>
        </w:rPr>
      </w:pPr>
    </w:p>
    <w:p w:rsidR="007B18CC" w:rsidRPr="0039298F" w:rsidRDefault="007B18CC" w:rsidP="007B18CC">
      <w:pPr>
        <w:pStyle w:val="Odstavecseseznamem"/>
        <w:numPr>
          <w:ilvl w:val="0"/>
          <w:numId w:val="6"/>
        </w:numPr>
        <w:spacing w:line="276" w:lineRule="auto"/>
        <w:jc w:val="both"/>
        <w:rPr>
          <w:rFonts w:ascii="Arial" w:eastAsia="Times New Roman" w:hAnsi="Arial" w:cs="Arial"/>
          <w:b/>
          <w:bCs/>
          <w:i/>
          <w:iCs/>
          <w:lang w:val="cs-CZ" w:eastAsia="en-GB"/>
        </w:rPr>
      </w:pPr>
      <w:r w:rsidRPr="0039298F">
        <w:rPr>
          <w:rFonts w:ascii="Arial" w:eastAsia="Times New Roman" w:hAnsi="Arial" w:cs="Arial"/>
          <w:lang w:val="cs-CZ" w:eastAsia="en-GB"/>
        </w:rPr>
        <w:t>Čistě z právního hlediska a na samostatném základě je stanovisko Právní služby Rady důvěryhodné a v souladu s nejnovější judikaturou. Když vezmeme v úvahu, že podle současné judikatury musí právní základ pozměňovacího návrhu být stanoven s ohledem na jeho vlastní cíl a obsah, a vzhledem k tomu, že úvodní ustanovení (</w:t>
      </w:r>
      <w:r w:rsidRPr="0039298F">
        <w:rPr>
          <w:rFonts w:ascii="Arial" w:eastAsia="Times New Roman" w:hAnsi="Arial" w:cs="Arial"/>
          <w:color w:val="000000" w:themeColor="text1"/>
          <w:lang w:val="cs-CZ" w:eastAsia="en-GB"/>
        </w:rPr>
        <w:t xml:space="preserve">body odůvodnění) </w:t>
      </w:r>
      <w:r w:rsidRPr="0039298F">
        <w:rPr>
          <w:rFonts w:ascii="Arial" w:eastAsia="Times New Roman" w:hAnsi="Arial" w:cs="Arial"/>
          <w:lang w:val="cs-CZ" w:eastAsia="en-GB"/>
        </w:rPr>
        <w:t xml:space="preserve">a obsah navrhované změny jednoznačně rozšiřují cíle ochrany životního prostředí, bylo by možné článek 192 považovat za vhodný právní základ pro navrhovanou změnu. </w:t>
      </w:r>
    </w:p>
    <w:p w:rsidR="007B18CC" w:rsidRPr="0039298F" w:rsidRDefault="007B18CC" w:rsidP="007B18CC">
      <w:pPr>
        <w:pStyle w:val="Odstavecseseznamem"/>
        <w:numPr>
          <w:ilvl w:val="0"/>
          <w:numId w:val="6"/>
        </w:numPr>
        <w:spacing w:line="276" w:lineRule="auto"/>
        <w:jc w:val="both"/>
        <w:rPr>
          <w:rFonts w:ascii="Arial" w:eastAsia="Times New Roman" w:hAnsi="Arial" w:cs="Arial"/>
          <w:b/>
          <w:bCs/>
          <w:i/>
          <w:iCs/>
          <w:lang w:val="cs-CZ" w:eastAsia="en-GB"/>
        </w:rPr>
      </w:pPr>
      <w:r w:rsidRPr="0039298F">
        <w:rPr>
          <w:rFonts w:ascii="Arial" w:eastAsia="Times New Roman" w:hAnsi="Arial" w:cs="Arial"/>
          <w:lang w:val="cs-CZ" w:eastAsia="en-GB"/>
        </w:rPr>
        <w:t xml:space="preserve">Nicméně uvažovat o pozměňovacím návrhu samostatně a bez jakéhokoli ohledu na „pozměněnou směrnici“ (tj. směrnici PPWD) by představovalo příliš omezený a krátkozraký právní postoj. Zjevné opomenutí stanoviska Právní služby Rady se týká kontextu, ve kterém pozměňovací návrh vzniká. I když vysvětluje historické důvody, které – zjevně – vedly k přijetí článku 114 jako právního základu směrnice, neposuzuje budoucnost. Vzhledem k souvislostem vzniku pozměňovacího návrhu existují dva argumenty proti tomu, aby pozměňovací návrh měl jiný právní základ než směrnice PPWD. </w:t>
      </w:r>
    </w:p>
    <w:p w:rsidR="007B18CC" w:rsidRPr="0039298F" w:rsidRDefault="007B18CC" w:rsidP="007B18CC">
      <w:pPr>
        <w:pStyle w:val="Odstavecseseznamem"/>
        <w:numPr>
          <w:ilvl w:val="1"/>
          <w:numId w:val="6"/>
        </w:numPr>
        <w:spacing w:line="276" w:lineRule="auto"/>
        <w:jc w:val="both"/>
        <w:rPr>
          <w:rFonts w:ascii="Arial" w:eastAsia="Times New Roman" w:hAnsi="Arial" w:cs="Arial"/>
          <w:b/>
          <w:bCs/>
          <w:i/>
          <w:iCs/>
          <w:lang w:val="cs-CZ" w:eastAsia="en-GB"/>
        </w:rPr>
      </w:pPr>
      <w:r w:rsidRPr="0039298F">
        <w:rPr>
          <w:rFonts w:ascii="Arial" w:eastAsia="Times New Roman" w:hAnsi="Arial" w:cs="Arial"/>
          <w:lang w:val="cs-CZ" w:eastAsia="en-GB"/>
        </w:rPr>
        <w:t xml:space="preserve">Zaprvé, pokud by právní akt jako celek, který byl přijat na základě jedné pravomoci Unie, byl následně pozměněn – případně i několikrát – na základě jiné pravomoci Unie, představovalo by to trvalé narušení původního právního základu. I když právní základ každého dalšího pozměňovacího návrhu musí vždy vycházet z cíle a obsahu „pozměňujícího“ aktu, nemůže to – už ze zásady – vést k úplnému přehlížení trvající platnosti právního základu „pozměněného“ aktu. Lze namítat, že obsah a účel „pozměněného aktu“ – směrnice PPWD – je třeba při určování právního základu jeho pozměňovacích návrhů brát v úvahu. Vzhledem k tomu, že </w:t>
      </w:r>
      <w:proofErr w:type="gramStart"/>
      <w:r w:rsidRPr="0039298F">
        <w:rPr>
          <w:rFonts w:ascii="Arial" w:eastAsia="Times New Roman" w:hAnsi="Arial" w:cs="Arial"/>
          <w:lang w:val="cs-CZ" w:eastAsia="en-GB"/>
        </w:rPr>
        <w:t>účelem  směrnice</w:t>
      </w:r>
      <w:proofErr w:type="gramEnd"/>
      <w:r w:rsidRPr="0039298F">
        <w:rPr>
          <w:rFonts w:ascii="Arial" w:eastAsia="Times New Roman" w:hAnsi="Arial" w:cs="Arial"/>
          <w:lang w:val="cs-CZ" w:eastAsia="en-GB"/>
        </w:rPr>
        <w:t xml:space="preserve"> PPWD je volný obchod baleného zboží v rámci vnitřního trhu, musí to uznat i právní základ každého pozměňovacího návrhu k této směrnici. Zdá se, že to je jediný způsob, jak se vyhnout tomu, aby řada pozměňovacích návrhů neustále oddělovala legislativní opatření od původního právního základu aktu, a tudíž nepříznivě ovlivňovala jeho soudržnost a provozní účinnost.</w:t>
      </w:r>
    </w:p>
    <w:p w:rsidR="007B18CC" w:rsidRPr="0039298F" w:rsidRDefault="007B18CC" w:rsidP="007B18CC">
      <w:pPr>
        <w:pStyle w:val="Odstavecseseznamem"/>
        <w:numPr>
          <w:ilvl w:val="1"/>
          <w:numId w:val="6"/>
        </w:numPr>
        <w:spacing w:line="276" w:lineRule="auto"/>
        <w:jc w:val="both"/>
        <w:rPr>
          <w:rFonts w:ascii="Arial" w:hAnsi="Arial" w:cs="Arial"/>
          <w:lang w:val="cs-CZ"/>
        </w:rPr>
      </w:pPr>
      <w:r w:rsidRPr="0039298F">
        <w:rPr>
          <w:rFonts w:ascii="Arial" w:eastAsia="Times New Roman" w:hAnsi="Arial" w:cs="Arial"/>
          <w:lang w:val="cs-CZ" w:eastAsia="en-GB"/>
        </w:rPr>
        <w:t xml:space="preserve">Zadruhé, nezohledňovat právní základ směrnice PPWD při rozhodování o právním základě pozměňovacích návrhů je obzvláště nevhodné, pokud tyto dva právní základy, přestože jsou „slučitelné“, vedou k velmi odlišnému stupni harmonizace a odlišným závazkům členských států při provádění a uplatňování daného aktu v budoucnosti.  Zdá se však, že článek 192 je prakticky neslučitelný s článkem 114, stávajícím právním základem směrnice PPWD. Je to proto, že i když oba články využívají řádný legislativní postup, zbývající pravomoci členských států </w:t>
      </w:r>
      <w:proofErr w:type="gramStart"/>
      <w:r w:rsidRPr="0039298F">
        <w:rPr>
          <w:rFonts w:ascii="Arial" w:eastAsia="Times New Roman" w:hAnsi="Arial" w:cs="Arial"/>
          <w:lang w:val="cs-CZ" w:eastAsia="en-GB"/>
        </w:rPr>
        <w:t>dle  článků</w:t>
      </w:r>
      <w:proofErr w:type="gramEnd"/>
      <w:r w:rsidRPr="0039298F">
        <w:rPr>
          <w:rFonts w:ascii="Arial" w:eastAsia="Times New Roman" w:hAnsi="Arial" w:cs="Arial"/>
          <w:lang w:val="cs-CZ" w:eastAsia="en-GB"/>
        </w:rPr>
        <w:t xml:space="preserve"> 193 a ustanovení 4 – 9 čl. 114 jsou velmi odlišné. Uplatnění článku 192 jako právního základu pozměňovacího návrhu původní směrnice PPWD by mohlo vést k tomu, že upravené články směrnice PPWD budou vykládány tak, že mají dvojí právní základ. Tím by vznikla značná právní nejistota týkající se pravomocí členských států zavádět přísnější pravidla dle článku 193 oproti jejich předchozím oznamovacím </w:t>
      </w:r>
      <w:proofErr w:type="gramStart"/>
      <w:r w:rsidRPr="0039298F">
        <w:rPr>
          <w:rFonts w:ascii="Arial" w:eastAsia="Times New Roman" w:hAnsi="Arial" w:cs="Arial"/>
          <w:lang w:val="cs-CZ" w:eastAsia="en-GB"/>
        </w:rPr>
        <w:t>povinnostem  dle</w:t>
      </w:r>
      <w:proofErr w:type="gramEnd"/>
      <w:r w:rsidRPr="0039298F">
        <w:rPr>
          <w:rFonts w:ascii="Arial" w:eastAsia="Times New Roman" w:hAnsi="Arial" w:cs="Arial"/>
          <w:lang w:val="cs-CZ" w:eastAsia="en-GB"/>
        </w:rPr>
        <w:t xml:space="preserve"> ustanovení 5 – 9 čl. 114 a článku 16 směrnice (s povinností oznamování předem či bez této povinnosti a/nebo s povinností pozastavení). </w:t>
      </w:r>
    </w:p>
    <w:p w:rsidR="007B18CC" w:rsidRPr="0039298F" w:rsidRDefault="007B18CC" w:rsidP="007B18CC">
      <w:pPr>
        <w:rPr>
          <w:rFonts w:ascii="Arial" w:hAnsi="Arial" w:cs="Arial"/>
        </w:rPr>
      </w:pPr>
    </w:p>
    <w:p w:rsidR="007B18CC" w:rsidRDefault="007B18CC"/>
    <w:sectPr w:rsidR="007B18CC" w:rsidSect="00EB7932">
      <w:headerReference w:type="even" r:id="rId8"/>
      <w:headerReference w:type="default" r:id="rId9"/>
      <w:footerReference w:type="even" r:id="rId10"/>
      <w:footerReference w:type="default" r:id="rId11"/>
      <w:headerReference w:type="first" r:id="rId12"/>
      <w:footerReference w:type="first" r:id="rId13"/>
      <w:pgSz w:w="12240" w:h="15840"/>
      <w:pgMar w:top="426" w:right="1418" w:bottom="568"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2E2" w:rsidRDefault="00D922E2" w:rsidP="007B18CC">
      <w:r>
        <w:separator/>
      </w:r>
    </w:p>
  </w:endnote>
  <w:endnote w:type="continuationSeparator" w:id="0">
    <w:p w:rsidR="00D922E2" w:rsidRDefault="00D922E2" w:rsidP="007B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2" w:rsidRDefault="00D922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656506"/>
      <w:docPartObj>
        <w:docPartGallery w:val="Page Numbers (Bottom of Page)"/>
        <w:docPartUnique/>
      </w:docPartObj>
    </w:sdtPr>
    <w:sdtEndPr/>
    <w:sdtContent>
      <w:p w:rsidR="00732042" w:rsidRDefault="00D922E2">
        <w:pPr>
          <w:pStyle w:val="Zpat"/>
          <w:jc w:val="right"/>
        </w:pPr>
        <w:r>
          <w:fldChar w:fldCharType="begin"/>
        </w:r>
        <w:r>
          <w:instrText>PAGE   \* MERGEFORMAT</w:instrText>
        </w:r>
        <w:r>
          <w:fldChar w:fldCharType="separate"/>
        </w:r>
        <w:r w:rsidR="007B18CC">
          <w:rPr>
            <w:noProof/>
          </w:rPr>
          <w:t>1</w:t>
        </w:r>
        <w:r>
          <w:fldChar w:fldCharType="end"/>
        </w:r>
        <w:r>
          <w:t>-6</w:t>
        </w:r>
      </w:p>
    </w:sdtContent>
  </w:sdt>
  <w:p w:rsidR="00732042" w:rsidRDefault="00D922E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2" w:rsidRDefault="00D922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2E2" w:rsidRDefault="00D922E2" w:rsidP="007B18CC">
      <w:r>
        <w:separator/>
      </w:r>
    </w:p>
  </w:footnote>
  <w:footnote w:type="continuationSeparator" w:id="0">
    <w:p w:rsidR="00D922E2" w:rsidRDefault="00D922E2" w:rsidP="007B18CC">
      <w:r>
        <w:continuationSeparator/>
      </w:r>
    </w:p>
  </w:footnote>
  <w:footnote w:id="1">
    <w:p w:rsidR="007B18CC" w:rsidRPr="0080544C" w:rsidRDefault="007B18CC" w:rsidP="007B18CC">
      <w:pPr>
        <w:pStyle w:val="Textpoznpodarou"/>
        <w:rPr>
          <w:rFonts w:ascii="Arial Narrow" w:hAnsi="Arial Narrow"/>
          <w:sz w:val="20"/>
          <w:szCs w:val="20"/>
        </w:rPr>
      </w:pPr>
      <w:r>
        <w:rPr>
          <w:rStyle w:val="Znakapoznpodarou"/>
        </w:rPr>
        <w:footnoteRef/>
      </w:r>
      <w:r>
        <w:t xml:space="preserve"> </w:t>
      </w:r>
      <w:r w:rsidRPr="0080544C">
        <w:rPr>
          <w:rFonts w:ascii="Arial Narrow" w:hAnsi="Arial Narrow"/>
          <w:sz w:val="20"/>
          <w:szCs w:val="20"/>
        </w:rPr>
        <w:t>Věc C-463/01 Komise versus Německo [2004], ECLI: EU:C:2004:797, odst. 61 a 62</w:t>
      </w:r>
    </w:p>
  </w:footnote>
  <w:footnote w:id="2">
    <w:p w:rsidR="007B18CC" w:rsidRPr="009A4020" w:rsidRDefault="007B18CC" w:rsidP="007B18CC">
      <w:pPr>
        <w:pStyle w:val="Textpoznpodarou"/>
        <w:rPr>
          <w:rFonts w:ascii="Arial Narrow" w:hAnsi="Arial Narrow"/>
          <w:sz w:val="20"/>
          <w:szCs w:val="20"/>
        </w:rPr>
      </w:pPr>
      <w:r>
        <w:rPr>
          <w:rStyle w:val="Znakapoznpodarou"/>
        </w:rPr>
        <w:footnoteRef/>
      </w:r>
      <w:r>
        <w:t xml:space="preserve"> </w:t>
      </w:r>
      <w:r w:rsidRPr="009A4020">
        <w:rPr>
          <w:rFonts w:ascii="Arial Narrow" w:hAnsi="Arial Narrow"/>
          <w:sz w:val="20"/>
          <w:szCs w:val="20"/>
        </w:rPr>
        <w:t xml:space="preserve">Komise </w:t>
      </w:r>
      <w:r>
        <w:rPr>
          <w:rFonts w:ascii="Arial Narrow" w:hAnsi="Arial Narrow"/>
          <w:sz w:val="20"/>
          <w:szCs w:val="20"/>
        </w:rPr>
        <w:t>podala</w:t>
      </w:r>
      <w:r w:rsidRPr="009A4020">
        <w:rPr>
          <w:rFonts w:ascii="Arial Narrow" w:hAnsi="Arial Narrow"/>
          <w:sz w:val="20"/>
          <w:szCs w:val="20"/>
        </w:rPr>
        <w:t xml:space="preserve"> </w:t>
      </w:r>
      <w:r>
        <w:rPr>
          <w:rFonts w:ascii="Arial Narrow" w:hAnsi="Arial Narrow"/>
          <w:sz w:val="20"/>
          <w:szCs w:val="20"/>
        </w:rPr>
        <w:t xml:space="preserve">v roce 1999 </w:t>
      </w:r>
      <w:r w:rsidRPr="009A4020">
        <w:rPr>
          <w:rFonts w:ascii="Arial Narrow" w:hAnsi="Arial Narrow"/>
          <w:sz w:val="20"/>
          <w:szCs w:val="20"/>
        </w:rPr>
        <w:t xml:space="preserve">Evropskému soudnímu dvoru </w:t>
      </w:r>
      <w:r>
        <w:rPr>
          <w:rFonts w:ascii="Arial Narrow" w:hAnsi="Arial Narrow"/>
          <w:sz w:val="20"/>
          <w:szCs w:val="20"/>
        </w:rPr>
        <w:t>žalobu (Věc C-246/99), ale v roce 2002 ji stáhla poté, co Dánsko provedlo úpravy svých právních předpisů.</w:t>
      </w:r>
    </w:p>
  </w:footnote>
  <w:footnote w:id="3">
    <w:p w:rsidR="007B18CC" w:rsidRPr="00333AEB" w:rsidRDefault="007B18CC" w:rsidP="007B18CC">
      <w:pPr>
        <w:pStyle w:val="Textpoznpodarou"/>
        <w:rPr>
          <w:rFonts w:ascii="Arial Narrow" w:hAnsi="Arial Narrow"/>
          <w:sz w:val="20"/>
          <w:szCs w:val="20"/>
        </w:rPr>
      </w:pPr>
      <w:r>
        <w:rPr>
          <w:rStyle w:val="Znakapoznpodarou"/>
        </w:rPr>
        <w:footnoteRef/>
      </w:r>
      <w:r>
        <w:t xml:space="preserve"> </w:t>
      </w:r>
      <w:r>
        <w:rPr>
          <w:rFonts w:ascii="Arial Narrow" w:hAnsi="Arial Narrow"/>
          <w:sz w:val="20"/>
          <w:szCs w:val="20"/>
        </w:rPr>
        <w:t>Zpráva Komise Radě a Evropskému parlamentu o provádění směrnice 94/62/ES o obalech a obalových odpadech a jejím dopadu na životní prostředí a na fungování vnitřního trhu [</w:t>
      </w:r>
      <w:proofErr w:type="gramStart"/>
      <w:r>
        <w:rPr>
          <w:rFonts w:ascii="Arial Narrow" w:hAnsi="Arial Narrow"/>
          <w:sz w:val="20"/>
          <w:szCs w:val="20"/>
        </w:rPr>
        <w:t>SEK(2006</w:t>
      </w:r>
      <w:proofErr w:type="gramEnd"/>
      <w:r>
        <w:rPr>
          <w:rFonts w:ascii="Arial Narrow" w:hAnsi="Arial Narrow"/>
          <w:sz w:val="20"/>
          <w:szCs w:val="20"/>
        </w:rPr>
        <w:t>) 1579] str. 7</w:t>
      </w:r>
    </w:p>
  </w:footnote>
  <w:footnote w:id="4">
    <w:p w:rsidR="007B18CC" w:rsidRPr="00045431" w:rsidRDefault="007B18CC" w:rsidP="007B18CC">
      <w:pPr>
        <w:pStyle w:val="Textpoznpodarou"/>
        <w:rPr>
          <w:rFonts w:ascii="Arial Narrow" w:hAnsi="Arial Narrow"/>
          <w:sz w:val="20"/>
          <w:szCs w:val="20"/>
        </w:rPr>
      </w:pPr>
      <w:r>
        <w:rPr>
          <w:rStyle w:val="Znakapoznpodarou"/>
        </w:rPr>
        <w:footnoteRef/>
      </w:r>
      <w:r>
        <w:t xml:space="preserve"> </w:t>
      </w:r>
      <w:r w:rsidRPr="00045431">
        <w:rPr>
          <w:rFonts w:ascii="Arial Narrow" w:hAnsi="Arial Narrow"/>
          <w:sz w:val="20"/>
          <w:szCs w:val="20"/>
        </w:rPr>
        <w:t xml:space="preserve">Komentář od prvního místopředsedy Franse </w:t>
      </w:r>
      <w:proofErr w:type="spellStart"/>
      <w:r w:rsidRPr="00045431">
        <w:rPr>
          <w:rFonts w:ascii="Arial Narrow" w:hAnsi="Arial Narrow"/>
          <w:sz w:val="20"/>
          <w:szCs w:val="20"/>
        </w:rPr>
        <w:t>Timmermanse</w:t>
      </w:r>
      <w:proofErr w:type="spellEnd"/>
      <w:r w:rsidRPr="00045431">
        <w:rPr>
          <w:rFonts w:ascii="Arial Narrow" w:hAnsi="Arial Narrow"/>
          <w:sz w:val="20"/>
          <w:szCs w:val="20"/>
        </w:rPr>
        <w:t xml:space="preserve"> u příležitosti zveřejnění Agendy pro zlepšení právní úpravy</w:t>
      </w:r>
    </w:p>
  </w:footnote>
  <w:footnote w:id="5">
    <w:p w:rsidR="007B18CC" w:rsidRPr="001921C6" w:rsidRDefault="007B18CC" w:rsidP="007B18CC">
      <w:pPr>
        <w:pStyle w:val="Textpoznpodarou"/>
        <w:rPr>
          <w:rFonts w:ascii="Arial Narrow" w:hAnsi="Arial Narrow"/>
          <w:sz w:val="20"/>
          <w:szCs w:val="20"/>
        </w:rPr>
      </w:pPr>
      <w:r>
        <w:rPr>
          <w:rStyle w:val="Znakapoznpodarou"/>
        </w:rPr>
        <w:footnoteRef/>
      </w:r>
      <w:r>
        <w:t xml:space="preserve"> </w:t>
      </w:r>
      <w:r w:rsidRPr="001921C6">
        <w:rPr>
          <w:rFonts w:ascii="Arial Narrow" w:hAnsi="Arial Narrow"/>
          <w:sz w:val="20"/>
          <w:szCs w:val="20"/>
        </w:rPr>
        <w:t xml:space="preserve">Část 3.2 Sdělení Komise o nápojových obalech, zálohových systémech a volném pohybu zboží (2009/C 107/01) </w:t>
      </w:r>
    </w:p>
  </w:footnote>
  <w:footnote w:id="6">
    <w:p w:rsidR="007B18CC" w:rsidRPr="001921C6" w:rsidRDefault="007B18CC" w:rsidP="007B18CC">
      <w:pPr>
        <w:pStyle w:val="Textpoznpodarou"/>
        <w:rPr>
          <w:rFonts w:ascii="Arial Narrow" w:hAnsi="Arial Narrow"/>
          <w:sz w:val="20"/>
          <w:szCs w:val="20"/>
        </w:rPr>
      </w:pPr>
      <w:r w:rsidRPr="001921C6">
        <w:rPr>
          <w:rStyle w:val="Znakapoznpodarou"/>
          <w:rFonts w:ascii="Arial Narrow" w:hAnsi="Arial Narrow"/>
          <w:sz w:val="20"/>
          <w:szCs w:val="20"/>
        </w:rPr>
        <w:footnoteRef/>
      </w:r>
      <w:r w:rsidRPr="001921C6">
        <w:rPr>
          <w:rFonts w:ascii="Arial Narrow" w:hAnsi="Arial Narrow"/>
          <w:sz w:val="20"/>
          <w:szCs w:val="20"/>
        </w:rPr>
        <w:t xml:space="preserve"> Věc C-463/01 Komise versus Německo [2004], ECLI:EU:C:2004:797, odst. 61 a 62 a věc C-309/02 </w:t>
      </w:r>
      <w:proofErr w:type="spellStart"/>
      <w:r w:rsidRPr="001921C6">
        <w:rPr>
          <w:rFonts w:ascii="Arial Narrow" w:hAnsi="Arial Narrow"/>
          <w:sz w:val="20"/>
          <w:szCs w:val="20"/>
        </w:rPr>
        <w:t>Radlberger</w:t>
      </w:r>
      <w:proofErr w:type="spellEnd"/>
      <w:r w:rsidRPr="001921C6">
        <w:rPr>
          <w:rFonts w:ascii="Arial Narrow" w:hAnsi="Arial Narrow"/>
          <w:sz w:val="20"/>
          <w:szCs w:val="20"/>
        </w:rPr>
        <w:t xml:space="preserve"> </w:t>
      </w:r>
      <w:proofErr w:type="spellStart"/>
      <w:r w:rsidRPr="001921C6">
        <w:rPr>
          <w:rFonts w:ascii="Arial Narrow" w:hAnsi="Arial Narrow"/>
          <w:sz w:val="20"/>
          <w:szCs w:val="20"/>
        </w:rPr>
        <w:t>Spitz</w:t>
      </w:r>
      <w:proofErr w:type="spellEnd"/>
      <w:r w:rsidRPr="001921C6">
        <w:rPr>
          <w:rFonts w:ascii="Arial Narrow" w:hAnsi="Arial Narrow"/>
          <w:sz w:val="20"/>
          <w:szCs w:val="20"/>
        </w:rPr>
        <w:t xml:space="preserve"> [2004], ECLI:EU:C:2004:799, odst. 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2" w:rsidRDefault="00D922E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2" w:rsidRDefault="00D922E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2" w:rsidRDefault="00D922E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E6BF9"/>
    <w:multiLevelType w:val="multilevel"/>
    <w:tmpl w:val="1CFC4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41F77200"/>
    <w:multiLevelType w:val="multilevel"/>
    <w:tmpl w:val="56F69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6E0532F"/>
    <w:multiLevelType w:val="multilevel"/>
    <w:tmpl w:val="006A5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76B102E"/>
    <w:multiLevelType w:val="hybridMultilevel"/>
    <w:tmpl w:val="F440D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DF5A90"/>
    <w:multiLevelType w:val="multilevel"/>
    <w:tmpl w:val="FA80B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6FB6659C"/>
    <w:multiLevelType w:val="multilevel"/>
    <w:tmpl w:val="D3F04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A3C"/>
    <w:rsid w:val="001B2A3C"/>
    <w:rsid w:val="004A2ACC"/>
    <w:rsid w:val="007B18CC"/>
    <w:rsid w:val="007C46BF"/>
    <w:rsid w:val="00D922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18CC"/>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7B18CC"/>
  </w:style>
  <w:style w:type="character" w:customStyle="1" w:styleId="TextpoznpodarouChar">
    <w:name w:val="Text pozn. pod čarou Char"/>
    <w:basedOn w:val="Standardnpsmoodstavce"/>
    <w:link w:val="Textpoznpodarou"/>
    <w:uiPriority w:val="99"/>
    <w:rsid w:val="007B18CC"/>
    <w:rPr>
      <w:sz w:val="24"/>
      <w:szCs w:val="24"/>
    </w:rPr>
  </w:style>
  <w:style w:type="character" w:styleId="Znakapoznpodarou">
    <w:name w:val="footnote reference"/>
    <w:basedOn w:val="Standardnpsmoodstavce"/>
    <w:uiPriority w:val="99"/>
    <w:unhideWhenUsed/>
    <w:rsid w:val="007B18CC"/>
    <w:rPr>
      <w:vertAlign w:val="superscript"/>
    </w:rPr>
  </w:style>
  <w:style w:type="table" w:styleId="Mkatabulky">
    <w:name w:val="Table Grid"/>
    <w:basedOn w:val="Normlntabulka"/>
    <w:uiPriority w:val="39"/>
    <w:rsid w:val="007B18C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B18CC"/>
    <w:pPr>
      <w:tabs>
        <w:tab w:val="center" w:pos="4536"/>
        <w:tab w:val="right" w:pos="9072"/>
      </w:tabs>
    </w:pPr>
  </w:style>
  <w:style w:type="character" w:customStyle="1" w:styleId="ZhlavChar">
    <w:name w:val="Záhlaví Char"/>
    <w:basedOn w:val="Standardnpsmoodstavce"/>
    <w:link w:val="Zhlav"/>
    <w:uiPriority w:val="99"/>
    <w:rsid w:val="007B18CC"/>
    <w:rPr>
      <w:sz w:val="24"/>
      <w:szCs w:val="24"/>
    </w:rPr>
  </w:style>
  <w:style w:type="paragraph" w:styleId="Zpat">
    <w:name w:val="footer"/>
    <w:basedOn w:val="Normln"/>
    <w:link w:val="ZpatChar"/>
    <w:uiPriority w:val="99"/>
    <w:unhideWhenUsed/>
    <w:rsid w:val="007B18CC"/>
    <w:pPr>
      <w:tabs>
        <w:tab w:val="center" w:pos="4536"/>
        <w:tab w:val="right" w:pos="9072"/>
      </w:tabs>
    </w:pPr>
  </w:style>
  <w:style w:type="character" w:customStyle="1" w:styleId="ZpatChar">
    <w:name w:val="Zápatí Char"/>
    <w:basedOn w:val="Standardnpsmoodstavce"/>
    <w:link w:val="Zpat"/>
    <w:uiPriority w:val="99"/>
    <w:rsid w:val="007B18CC"/>
    <w:rPr>
      <w:sz w:val="24"/>
      <w:szCs w:val="24"/>
    </w:rPr>
  </w:style>
  <w:style w:type="paragraph" w:styleId="Odstavecseseznamem">
    <w:name w:val="List Paragraph"/>
    <w:basedOn w:val="Normln"/>
    <w:uiPriority w:val="34"/>
    <w:qFormat/>
    <w:rsid w:val="007B18CC"/>
    <w:pPr>
      <w:ind w:left="720"/>
      <w:contextualSpacing/>
    </w:pPr>
    <w:rPr>
      <w:rFonts w:ascii="Calibri" w:hAnsi="Calibri" w:cs="Times New Roman"/>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18CC"/>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7B18CC"/>
  </w:style>
  <w:style w:type="character" w:customStyle="1" w:styleId="TextpoznpodarouChar">
    <w:name w:val="Text pozn. pod čarou Char"/>
    <w:basedOn w:val="Standardnpsmoodstavce"/>
    <w:link w:val="Textpoznpodarou"/>
    <w:uiPriority w:val="99"/>
    <w:rsid w:val="007B18CC"/>
    <w:rPr>
      <w:sz w:val="24"/>
      <w:szCs w:val="24"/>
    </w:rPr>
  </w:style>
  <w:style w:type="character" w:styleId="Znakapoznpodarou">
    <w:name w:val="footnote reference"/>
    <w:basedOn w:val="Standardnpsmoodstavce"/>
    <w:uiPriority w:val="99"/>
    <w:unhideWhenUsed/>
    <w:rsid w:val="007B18CC"/>
    <w:rPr>
      <w:vertAlign w:val="superscript"/>
    </w:rPr>
  </w:style>
  <w:style w:type="table" w:styleId="Mkatabulky">
    <w:name w:val="Table Grid"/>
    <w:basedOn w:val="Normlntabulka"/>
    <w:uiPriority w:val="39"/>
    <w:rsid w:val="007B18C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B18CC"/>
    <w:pPr>
      <w:tabs>
        <w:tab w:val="center" w:pos="4536"/>
        <w:tab w:val="right" w:pos="9072"/>
      </w:tabs>
    </w:pPr>
  </w:style>
  <w:style w:type="character" w:customStyle="1" w:styleId="ZhlavChar">
    <w:name w:val="Záhlaví Char"/>
    <w:basedOn w:val="Standardnpsmoodstavce"/>
    <w:link w:val="Zhlav"/>
    <w:uiPriority w:val="99"/>
    <w:rsid w:val="007B18CC"/>
    <w:rPr>
      <w:sz w:val="24"/>
      <w:szCs w:val="24"/>
    </w:rPr>
  </w:style>
  <w:style w:type="paragraph" w:styleId="Zpat">
    <w:name w:val="footer"/>
    <w:basedOn w:val="Normln"/>
    <w:link w:val="ZpatChar"/>
    <w:uiPriority w:val="99"/>
    <w:unhideWhenUsed/>
    <w:rsid w:val="007B18CC"/>
    <w:pPr>
      <w:tabs>
        <w:tab w:val="center" w:pos="4536"/>
        <w:tab w:val="right" w:pos="9072"/>
      </w:tabs>
    </w:pPr>
  </w:style>
  <w:style w:type="character" w:customStyle="1" w:styleId="ZpatChar">
    <w:name w:val="Zápatí Char"/>
    <w:basedOn w:val="Standardnpsmoodstavce"/>
    <w:link w:val="Zpat"/>
    <w:uiPriority w:val="99"/>
    <w:rsid w:val="007B18CC"/>
    <w:rPr>
      <w:sz w:val="24"/>
      <w:szCs w:val="24"/>
    </w:rPr>
  </w:style>
  <w:style w:type="paragraph" w:styleId="Odstavecseseznamem">
    <w:name w:val="List Paragraph"/>
    <w:basedOn w:val="Normln"/>
    <w:uiPriority w:val="34"/>
    <w:qFormat/>
    <w:rsid w:val="007B18CC"/>
    <w:pPr>
      <w:ind w:left="720"/>
      <w:contextualSpacing/>
    </w:pPr>
    <w:rPr>
      <w:rFonts w:ascii="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4052</Words>
  <Characters>23907</Characters>
  <Application>Microsoft Office Word</Application>
  <DocSecurity>0</DocSecurity>
  <Lines>199</Lines>
  <Paragraphs>55</Paragraphs>
  <ScaleCrop>false</ScaleCrop>
  <Company>Hewlett-Packard Company</Company>
  <LinksUpToDate>false</LinksUpToDate>
  <CharactersWithSpaces>27904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dc:creator>
  <cp:lastModifiedBy>doma</cp:lastModifiedBy>
  <cp:revision>3</cp:revision>
  <dcterms:created xsi:type="dcterms:W3CDTF">2017-10-16T13:41:00Z</dcterms:created>
  <dcterms:modified xsi:type="dcterms:W3CDTF">2017-10-16T13:45:00Z</dcterms:modified>
</cp:coreProperties>
</file>